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C8E" w:rsidRPr="00934FAA" w:rsidRDefault="00C93C8E" w:rsidP="00C93C8E">
      <w:pPr>
        <w:rPr>
          <w:b/>
          <w:bCs/>
        </w:rPr>
      </w:pPr>
      <w:r w:rsidRPr="00934FAA">
        <w:rPr>
          <w:b/>
          <w:bCs/>
        </w:rPr>
        <w:t>Contents</w:t>
      </w:r>
    </w:p>
    <w:p w:rsidR="00C93C8E" w:rsidRDefault="00C93C8E" w:rsidP="00C93C8E">
      <w:pPr>
        <w:pStyle w:val="ListParagraph"/>
        <w:numPr>
          <w:ilvl w:val="0"/>
          <w:numId w:val="3"/>
        </w:numPr>
      </w:pPr>
      <w:r>
        <w:t>Introduction</w:t>
      </w:r>
    </w:p>
    <w:p w:rsidR="00C93C8E" w:rsidRDefault="00C93C8E" w:rsidP="00C93C8E">
      <w:pPr>
        <w:pStyle w:val="ListParagraph"/>
        <w:numPr>
          <w:ilvl w:val="0"/>
          <w:numId w:val="3"/>
        </w:numPr>
      </w:pPr>
      <w:r>
        <w:t>The context</w:t>
      </w:r>
    </w:p>
    <w:p w:rsidR="0015517C" w:rsidRDefault="0015517C" w:rsidP="00C93C8E">
      <w:pPr>
        <w:pStyle w:val="ListParagraph"/>
        <w:numPr>
          <w:ilvl w:val="0"/>
          <w:numId w:val="3"/>
        </w:numPr>
      </w:pPr>
      <w:r>
        <w:t>Participant list</w:t>
      </w:r>
    </w:p>
    <w:p w:rsidR="00990BB0" w:rsidRDefault="00990BB0" w:rsidP="00C93C8E">
      <w:pPr>
        <w:pStyle w:val="ListParagraph"/>
        <w:numPr>
          <w:ilvl w:val="0"/>
          <w:numId w:val="3"/>
        </w:numPr>
      </w:pPr>
      <w:r>
        <w:t>The method</w:t>
      </w:r>
    </w:p>
    <w:p w:rsidR="00C93C8E" w:rsidRDefault="00C93C8E" w:rsidP="00C93C8E">
      <w:pPr>
        <w:pStyle w:val="ListParagraph"/>
        <w:numPr>
          <w:ilvl w:val="0"/>
          <w:numId w:val="3"/>
        </w:numPr>
      </w:pPr>
      <w:r>
        <w:t>The content</w:t>
      </w:r>
    </w:p>
    <w:p w:rsidR="00C86559" w:rsidRDefault="00C86559" w:rsidP="00C93C8E">
      <w:pPr>
        <w:pStyle w:val="ListParagraph"/>
        <w:numPr>
          <w:ilvl w:val="0"/>
          <w:numId w:val="3"/>
        </w:numPr>
      </w:pPr>
      <w:r>
        <w:t>The Weggeman model</w:t>
      </w:r>
    </w:p>
    <w:p w:rsidR="00C93C8E" w:rsidRDefault="00C93C8E" w:rsidP="00C93C8E">
      <w:pPr>
        <w:pStyle w:val="ListParagraph"/>
        <w:numPr>
          <w:ilvl w:val="0"/>
          <w:numId w:val="3"/>
        </w:numPr>
      </w:pPr>
      <w:r>
        <w:t>Conclusions</w:t>
      </w:r>
    </w:p>
    <w:p w:rsidR="00C93C8E" w:rsidRDefault="00B14BBA" w:rsidP="00C93C8E">
      <w:pPr>
        <w:pStyle w:val="ListParagraph"/>
        <w:numPr>
          <w:ilvl w:val="0"/>
          <w:numId w:val="3"/>
        </w:numPr>
      </w:pPr>
      <w:r>
        <w:t>Way forward</w:t>
      </w:r>
    </w:p>
    <w:p w:rsidR="00B14BBA" w:rsidRDefault="004003EA" w:rsidP="00C93C8E">
      <w:pPr>
        <w:pStyle w:val="ListParagraph"/>
        <w:numPr>
          <w:ilvl w:val="0"/>
          <w:numId w:val="3"/>
        </w:numPr>
      </w:pPr>
      <w:r>
        <w:t>Annexes</w:t>
      </w:r>
    </w:p>
    <w:p w:rsidR="00C93C8E" w:rsidRDefault="00C93C8E" w:rsidP="00C93C8E"/>
    <w:p w:rsidR="00C93C8E" w:rsidRPr="00934FAA" w:rsidRDefault="004003EA" w:rsidP="00C93C8E">
      <w:pPr>
        <w:rPr>
          <w:b/>
          <w:bCs/>
          <w:lang w:val="en-GB"/>
        </w:rPr>
      </w:pPr>
      <w:r>
        <w:rPr>
          <w:b/>
          <w:bCs/>
          <w:lang w:val="en-GB"/>
        </w:rPr>
        <w:t xml:space="preserve">1 </w:t>
      </w:r>
      <w:r w:rsidR="00C93C8E" w:rsidRPr="00934FAA">
        <w:rPr>
          <w:b/>
          <w:bCs/>
          <w:lang w:val="en-GB"/>
        </w:rPr>
        <w:t>Introduction</w:t>
      </w:r>
    </w:p>
    <w:p w:rsidR="00EF7118" w:rsidRDefault="00C93C8E" w:rsidP="009E6EE7">
      <w:pPr>
        <w:rPr>
          <w:lang w:val="en-GB"/>
        </w:rPr>
      </w:pPr>
      <w:r w:rsidRPr="00C93C8E">
        <w:rPr>
          <w:lang w:val="en-GB"/>
        </w:rPr>
        <w:t>In 2009 IEA and IRC staff came together</w:t>
      </w:r>
      <w:r w:rsidR="00EF7118">
        <w:rPr>
          <w:lang w:val="en-GB"/>
        </w:rPr>
        <w:t xml:space="preserve"> twice</w:t>
      </w:r>
      <w:r w:rsidRPr="00C93C8E">
        <w:rPr>
          <w:lang w:val="en-GB"/>
        </w:rPr>
        <w:t xml:space="preserve"> to </w:t>
      </w:r>
      <w:r>
        <w:rPr>
          <w:lang w:val="en-GB"/>
        </w:rPr>
        <w:t xml:space="preserve">workshop, discuss and </w:t>
      </w:r>
      <w:r w:rsidRPr="00C93C8E">
        <w:rPr>
          <w:lang w:val="en-GB"/>
        </w:rPr>
        <w:t>agree on a memorandum of understanding</w:t>
      </w:r>
      <w:r w:rsidR="009E6EE7">
        <w:rPr>
          <w:lang w:val="en-GB"/>
        </w:rPr>
        <w:t xml:space="preserve"> (MoU) </w:t>
      </w:r>
      <w:r w:rsidRPr="00C93C8E">
        <w:rPr>
          <w:lang w:val="en-GB"/>
        </w:rPr>
        <w:t xml:space="preserve">between IEA </w:t>
      </w:r>
      <w:r w:rsidR="00990BB0">
        <w:rPr>
          <w:lang w:val="en-GB"/>
        </w:rPr>
        <w:t>(</w:t>
      </w:r>
      <w:r w:rsidR="00990BB0" w:rsidRPr="00990BB0">
        <w:rPr>
          <w:lang w:val="en-GB"/>
        </w:rPr>
        <w:t>Institut International de l'Eau et de l'Assainissement</w:t>
      </w:r>
      <w:r w:rsidR="00990BB0">
        <w:rPr>
          <w:lang w:val="en-GB"/>
        </w:rPr>
        <w:t xml:space="preserve">, Rabat, Morocco, </w:t>
      </w:r>
      <w:r w:rsidR="00EF7118">
        <w:rPr>
          <w:lang w:val="en-GB"/>
        </w:rPr>
        <w:t>http://www.iea.ma</w:t>
      </w:r>
      <w:r w:rsidR="00990BB0" w:rsidRPr="00990BB0">
        <w:rPr>
          <w:lang w:val="en-GB"/>
        </w:rPr>
        <w:t xml:space="preserve">) </w:t>
      </w:r>
      <w:r w:rsidRPr="00C93C8E">
        <w:rPr>
          <w:lang w:val="en-GB"/>
        </w:rPr>
        <w:t>and IRC</w:t>
      </w:r>
      <w:r w:rsidR="00990BB0">
        <w:rPr>
          <w:lang w:val="en-GB"/>
        </w:rPr>
        <w:t xml:space="preserve"> (</w:t>
      </w:r>
      <w:r w:rsidR="00EF7118">
        <w:rPr>
          <w:lang w:val="en-GB"/>
        </w:rPr>
        <w:t>International Water and S</w:t>
      </w:r>
      <w:r w:rsidR="00990BB0">
        <w:rPr>
          <w:lang w:val="en-GB"/>
        </w:rPr>
        <w:t>anitation centre, The Hague, the Netherlands, www.irc.nl)</w:t>
      </w:r>
      <w:r w:rsidRPr="00C93C8E">
        <w:rPr>
          <w:lang w:val="en-GB"/>
        </w:rPr>
        <w:t xml:space="preserve">. </w:t>
      </w:r>
    </w:p>
    <w:p w:rsidR="00990BB0" w:rsidRDefault="00990BB0" w:rsidP="009E6EE7">
      <w:pPr>
        <w:rPr>
          <w:lang w:val="en-GB"/>
        </w:rPr>
      </w:pPr>
      <w:r>
        <w:rPr>
          <w:lang w:val="en-GB"/>
        </w:rPr>
        <w:t>IRC has a well and international established name as WASH knowledge</w:t>
      </w:r>
      <w:r w:rsidR="00EF7118">
        <w:rPr>
          <w:lang w:val="en-GB"/>
        </w:rPr>
        <w:t xml:space="preserve"> -</w:t>
      </w:r>
      <w:r>
        <w:rPr>
          <w:lang w:val="en-GB"/>
        </w:rPr>
        <w:t xml:space="preserve"> or resource centre. In November 2009 IEA and IRC signed a </w:t>
      </w:r>
      <w:r w:rsidR="009E6EE7">
        <w:rPr>
          <w:lang w:val="en-GB"/>
        </w:rPr>
        <w:t>MoU</w:t>
      </w:r>
      <w:r>
        <w:rPr>
          <w:lang w:val="en-GB"/>
        </w:rPr>
        <w:t xml:space="preserve"> and one of the activities planned was a hands-on training workshop (learning by doing) on knowledge management.</w:t>
      </w:r>
      <w:r w:rsidR="00EF7118">
        <w:rPr>
          <w:lang w:val="en-GB"/>
        </w:rPr>
        <w:t xml:space="preserve"> That workshop took place at IEA offices at Rabat on April 12-16</w:t>
      </w:r>
      <w:r w:rsidR="009E6EE7">
        <w:rPr>
          <w:lang w:val="en-GB"/>
        </w:rPr>
        <w:t>. 2010</w:t>
      </w:r>
      <w:r w:rsidR="00EF7118">
        <w:rPr>
          <w:lang w:val="en-GB"/>
        </w:rPr>
        <w:t xml:space="preserve">. </w:t>
      </w:r>
    </w:p>
    <w:p w:rsidR="0015517C" w:rsidRDefault="00934FAA" w:rsidP="00934FAA">
      <w:pPr>
        <w:rPr>
          <w:lang w:val="en-GB"/>
        </w:rPr>
      </w:pPr>
      <w:r>
        <w:rPr>
          <w:lang w:val="en-GB"/>
        </w:rPr>
        <w:t>This report describes what happened, what the result are and</w:t>
      </w:r>
      <w:r w:rsidR="009E6EE7">
        <w:rPr>
          <w:lang w:val="en-GB"/>
        </w:rPr>
        <w:t xml:space="preserve"> what is expected as follow up.</w:t>
      </w:r>
    </w:p>
    <w:p w:rsidR="0015517C" w:rsidRPr="00990BB0" w:rsidRDefault="0015517C" w:rsidP="0015517C">
      <w:pPr>
        <w:pBdr>
          <w:top w:val="single" w:sz="4" w:space="1" w:color="auto"/>
          <w:left w:val="single" w:sz="4" w:space="4" w:color="auto"/>
          <w:bottom w:val="single" w:sz="4" w:space="1" w:color="auto"/>
          <w:right w:val="single" w:sz="4" w:space="4" w:color="auto"/>
        </w:pBdr>
        <w:rPr>
          <w:lang w:val="en-GB"/>
        </w:rPr>
      </w:pPr>
      <w:r>
        <w:rPr>
          <w:lang w:val="en-GB"/>
        </w:rPr>
        <w:t xml:space="preserve">Group </w:t>
      </w:r>
      <w:r w:rsidR="009E6EE7">
        <w:rPr>
          <w:lang w:val="en-GB"/>
        </w:rPr>
        <w:t>work and a participant facilitati</w:t>
      </w:r>
      <w:r>
        <w:rPr>
          <w:lang w:val="en-GB"/>
        </w:rPr>
        <w:t>n</w:t>
      </w:r>
      <w:r w:rsidR="009E6EE7">
        <w:rPr>
          <w:lang w:val="en-GB"/>
        </w:rPr>
        <w:t>g</w:t>
      </w:r>
    </w:p>
    <w:p w:rsidR="00EF7118" w:rsidRDefault="0015517C" w:rsidP="0015517C">
      <w:pPr>
        <w:pBdr>
          <w:top w:val="single" w:sz="4" w:space="1" w:color="auto"/>
          <w:left w:val="single" w:sz="4" w:space="4" w:color="auto"/>
          <w:bottom w:val="single" w:sz="4" w:space="1" w:color="auto"/>
          <w:right w:val="single" w:sz="4" w:space="4" w:color="auto"/>
        </w:pBdr>
        <w:rPr>
          <w:lang w:val="en-GB"/>
        </w:rPr>
      </w:pPr>
      <w:r>
        <w:rPr>
          <w:lang w:val="en-GB"/>
        </w:rPr>
        <w:t xml:space="preserve">   </w:t>
      </w:r>
      <w:r>
        <w:rPr>
          <w:noProof/>
          <w:lang w:val="en-GB" w:eastAsia="en-GB"/>
        </w:rPr>
        <w:drawing>
          <wp:inline distT="0" distB="0" distL="0" distR="0">
            <wp:extent cx="2724150" cy="2043060"/>
            <wp:effectExtent l="19050" t="0" r="0" b="0"/>
            <wp:docPr id="15" name="Picture 11" descr="D:\Maroc\Pictures\Groupework I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roc\Pictures\Groupework IEA.JPG"/>
                    <pic:cNvPicPr>
                      <a:picLocks noChangeAspect="1" noChangeArrowheads="1"/>
                    </pic:cNvPicPr>
                  </pic:nvPicPr>
                  <pic:blipFill>
                    <a:blip r:embed="rId8" cstate="email"/>
                    <a:srcRect/>
                    <a:stretch>
                      <a:fillRect/>
                    </a:stretch>
                  </pic:blipFill>
                  <pic:spPr bwMode="auto">
                    <a:xfrm>
                      <a:off x="0" y="0"/>
                      <a:ext cx="2724577" cy="2043380"/>
                    </a:xfrm>
                    <a:prstGeom prst="rect">
                      <a:avLst/>
                    </a:prstGeom>
                    <a:noFill/>
                    <a:ln w="9525">
                      <a:noFill/>
                      <a:miter lim="800000"/>
                      <a:headEnd/>
                      <a:tailEnd/>
                    </a:ln>
                  </pic:spPr>
                </pic:pic>
              </a:graphicData>
            </a:graphic>
          </wp:inline>
        </w:drawing>
      </w:r>
      <w:r>
        <w:rPr>
          <w:lang w:val="en-GB"/>
        </w:rPr>
        <w:t xml:space="preserve">                          </w:t>
      </w:r>
      <w:r>
        <w:rPr>
          <w:noProof/>
          <w:lang w:val="en-GB" w:eastAsia="en-GB"/>
        </w:rPr>
        <w:drawing>
          <wp:inline distT="0" distB="0" distL="0" distR="0">
            <wp:extent cx="1832741" cy="2443655"/>
            <wp:effectExtent l="19050" t="0" r="0" b="0"/>
            <wp:docPr id="16" name="Picture 12" descr="D:\Maroc\Pictures\Facilitation by I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roc\Pictures\Facilitation by IEA 1.JPG"/>
                    <pic:cNvPicPr>
                      <a:picLocks noChangeAspect="1" noChangeArrowheads="1"/>
                    </pic:cNvPicPr>
                  </pic:nvPicPr>
                  <pic:blipFill>
                    <a:blip r:embed="rId9" cstate="email"/>
                    <a:srcRect/>
                    <a:stretch>
                      <a:fillRect/>
                    </a:stretch>
                  </pic:blipFill>
                  <pic:spPr bwMode="auto">
                    <a:xfrm>
                      <a:off x="0" y="0"/>
                      <a:ext cx="1833494" cy="2444659"/>
                    </a:xfrm>
                    <a:prstGeom prst="rect">
                      <a:avLst/>
                    </a:prstGeom>
                    <a:noFill/>
                    <a:ln w="9525">
                      <a:noFill/>
                      <a:miter lim="800000"/>
                      <a:headEnd/>
                      <a:tailEnd/>
                    </a:ln>
                  </pic:spPr>
                </pic:pic>
              </a:graphicData>
            </a:graphic>
          </wp:inline>
        </w:drawing>
      </w:r>
    </w:p>
    <w:p w:rsidR="0015517C" w:rsidRDefault="0015517C" w:rsidP="0015517C">
      <w:pPr>
        <w:pBdr>
          <w:top w:val="single" w:sz="4" w:space="1" w:color="auto"/>
          <w:left w:val="single" w:sz="4" w:space="4" w:color="auto"/>
          <w:bottom w:val="single" w:sz="4" w:space="1" w:color="auto"/>
          <w:right w:val="single" w:sz="4" w:space="4" w:color="auto"/>
        </w:pBdr>
        <w:rPr>
          <w:lang w:val="en-GB"/>
        </w:rPr>
      </w:pPr>
    </w:p>
    <w:p w:rsidR="0015517C" w:rsidRDefault="0015517C">
      <w:pPr>
        <w:rPr>
          <w:lang w:val="en-GB"/>
        </w:rPr>
      </w:pPr>
      <w:r>
        <w:rPr>
          <w:lang w:val="en-GB"/>
        </w:rPr>
        <w:br w:type="page"/>
      </w:r>
    </w:p>
    <w:p w:rsidR="00C93C8E" w:rsidRPr="00934FAA" w:rsidRDefault="004003EA" w:rsidP="00C93C8E">
      <w:pPr>
        <w:rPr>
          <w:b/>
          <w:bCs/>
          <w:lang w:val="en-GB"/>
        </w:rPr>
      </w:pPr>
      <w:r>
        <w:rPr>
          <w:b/>
          <w:bCs/>
          <w:lang w:val="en-GB"/>
        </w:rPr>
        <w:lastRenderedPageBreak/>
        <w:t xml:space="preserve">2 </w:t>
      </w:r>
      <w:r w:rsidR="00EF7118" w:rsidRPr="00934FAA">
        <w:rPr>
          <w:b/>
          <w:bCs/>
          <w:lang w:val="en-GB"/>
        </w:rPr>
        <w:t>The context</w:t>
      </w:r>
    </w:p>
    <w:p w:rsidR="00EF7118" w:rsidRDefault="00EF7118" w:rsidP="00EF7118">
      <w:pPr>
        <w:rPr>
          <w:lang w:val="en-GB"/>
        </w:rPr>
      </w:pPr>
      <w:r>
        <w:rPr>
          <w:lang w:val="en-GB"/>
        </w:rPr>
        <w:t xml:space="preserve">IEA has the ambition to become a resource centre in the field of water and sanitation / hygiene (WASH). </w:t>
      </w:r>
      <w:r w:rsidRPr="00990BB0">
        <w:rPr>
          <w:lang w:val="en-GB"/>
        </w:rPr>
        <w:t>IEA</w:t>
      </w:r>
      <w:r>
        <w:rPr>
          <w:lang w:val="en-GB"/>
        </w:rPr>
        <w:t xml:space="preserve"> has been created in 2008 and has as v</w:t>
      </w:r>
      <w:r w:rsidRPr="00990BB0">
        <w:rPr>
          <w:lang w:val="en-GB"/>
        </w:rPr>
        <w:t xml:space="preserve">ision </w:t>
      </w:r>
      <w:r>
        <w:rPr>
          <w:lang w:val="en-GB"/>
        </w:rPr>
        <w:t>to operate as a resource c</w:t>
      </w:r>
      <w:r w:rsidRPr="00990BB0">
        <w:rPr>
          <w:lang w:val="en-GB"/>
        </w:rPr>
        <w:t>entre at regional level</w:t>
      </w:r>
      <w:r>
        <w:rPr>
          <w:lang w:val="en-GB"/>
        </w:rPr>
        <w:t xml:space="preserve"> (Middle East and North Africa or MENA, MAGREB region and Arab speaking countries</w:t>
      </w:r>
      <w:r w:rsidR="009E6EE7">
        <w:rPr>
          <w:lang w:val="en-GB"/>
        </w:rPr>
        <w:t>)</w:t>
      </w:r>
      <w:r>
        <w:rPr>
          <w:lang w:val="en-GB"/>
        </w:rPr>
        <w:t>. IEA has two departments</w:t>
      </w:r>
      <w:r w:rsidRPr="00990BB0">
        <w:rPr>
          <w:lang w:val="en-GB"/>
        </w:rPr>
        <w:t xml:space="preserve">: </w:t>
      </w:r>
      <w:r w:rsidR="009E6EE7">
        <w:rPr>
          <w:lang w:val="en-GB"/>
        </w:rPr>
        <w:t>R&amp;D and Training.</w:t>
      </w:r>
    </w:p>
    <w:p w:rsidR="00EF7118" w:rsidRDefault="00EF7118" w:rsidP="00EF7118">
      <w:pPr>
        <w:rPr>
          <w:lang w:val="en-GB"/>
        </w:rPr>
      </w:pPr>
      <w:r w:rsidRPr="00EF7118">
        <w:rPr>
          <w:lang w:val="en-GB"/>
        </w:rPr>
        <w:t>R&amp;D</w:t>
      </w:r>
      <w:r>
        <w:rPr>
          <w:lang w:val="en-GB"/>
        </w:rPr>
        <w:t xml:space="preserve"> is done on r</w:t>
      </w:r>
      <w:r w:rsidRPr="00EF7118">
        <w:rPr>
          <w:lang w:val="en-GB"/>
        </w:rPr>
        <w:t>esearch for adapted solutions, sustainable</w:t>
      </w:r>
      <w:r>
        <w:rPr>
          <w:lang w:val="en-GB"/>
        </w:rPr>
        <w:t xml:space="preserve"> </w:t>
      </w:r>
      <w:r w:rsidRPr="00EF7118">
        <w:rPr>
          <w:lang w:val="en-GB"/>
        </w:rPr>
        <w:t xml:space="preserve">and adaptable to </w:t>
      </w:r>
      <w:r>
        <w:rPr>
          <w:lang w:val="en-GB"/>
        </w:rPr>
        <w:t>e</w:t>
      </w:r>
      <w:r w:rsidRPr="00EF7118">
        <w:rPr>
          <w:lang w:val="en-GB"/>
        </w:rPr>
        <w:t>nvironment in rapid</w:t>
      </w:r>
      <w:r>
        <w:rPr>
          <w:lang w:val="en-GB"/>
        </w:rPr>
        <w:t xml:space="preserve"> </w:t>
      </w:r>
      <w:r w:rsidRPr="00EF7118">
        <w:rPr>
          <w:lang w:val="en-GB"/>
        </w:rPr>
        <w:t>change</w:t>
      </w:r>
      <w:r>
        <w:rPr>
          <w:lang w:val="en-GB"/>
        </w:rPr>
        <w:t>; p</w:t>
      </w:r>
      <w:r w:rsidRPr="00EF7118">
        <w:rPr>
          <w:lang w:val="en-GB"/>
        </w:rPr>
        <w:t>artnership and networking</w:t>
      </w:r>
      <w:r>
        <w:rPr>
          <w:lang w:val="en-GB"/>
        </w:rPr>
        <w:t xml:space="preserve"> and e</w:t>
      </w:r>
      <w:r w:rsidRPr="00EF7118">
        <w:rPr>
          <w:lang w:val="en-GB"/>
        </w:rPr>
        <w:t>fficiency and applicability</w:t>
      </w:r>
      <w:r>
        <w:rPr>
          <w:lang w:val="en-GB"/>
        </w:rPr>
        <w:t>. In the f</w:t>
      </w:r>
      <w:r w:rsidRPr="00EF7118">
        <w:rPr>
          <w:lang w:val="en-GB"/>
        </w:rPr>
        <w:t>ield of training:</w:t>
      </w:r>
      <w:r>
        <w:rPr>
          <w:lang w:val="en-GB"/>
        </w:rPr>
        <w:t xml:space="preserve"> t</w:t>
      </w:r>
      <w:r w:rsidRPr="00EF7118">
        <w:rPr>
          <w:lang w:val="en-GB"/>
        </w:rPr>
        <w:t>echnical</w:t>
      </w:r>
      <w:r>
        <w:rPr>
          <w:lang w:val="en-GB"/>
        </w:rPr>
        <w:t>, a</w:t>
      </w:r>
      <w:r w:rsidRPr="00EF7118">
        <w:rPr>
          <w:lang w:val="en-GB"/>
        </w:rPr>
        <w:t>dministrative and financial</w:t>
      </w:r>
      <w:r>
        <w:rPr>
          <w:lang w:val="en-GB"/>
        </w:rPr>
        <w:t xml:space="preserve"> and m</w:t>
      </w:r>
      <w:r w:rsidRPr="00EF7118">
        <w:rPr>
          <w:lang w:val="en-GB"/>
        </w:rPr>
        <w:t>anagerial, and social</w:t>
      </w:r>
      <w:r>
        <w:rPr>
          <w:lang w:val="en-GB"/>
        </w:rPr>
        <w:t>. Per annum 2</w:t>
      </w:r>
      <w:r w:rsidRPr="00EF7118">
        <w:rPr>
          <w:lang w:val="en-GB"/>
        </w:rPr>
        <w:t>2</w:t>
      </w:r>
      <w:r>
        <w:rPr>
          <w:lang w:val="en-GB"/>
        </w:rPr>
        <w:t>.</w:t>
      </w:r>
      <w:r w:rsidRPr="00EF7118">
        <w:rPr>
          <w:lang w:val="en-GB"/>
        </w:rPr>
        <w:t xml:space="preserve">000 </w:t>
      </w:r>
      <w:r>
        <w:rPr>
          <w:lang w:val="en-GB"/>
        </w:rPr>
        <w:t>training days are organised.</w:t>
      </w:r>
    </w:p>
    <w:p w:rsidR="0015517C" w:rsidRDefault="0015517C" w:rsidP="0015517C">
      <w:pPr>
        <w:pBdr>
          <w:top w:val="single" w:sz="4" w:space="1" w:color="auto"/>
          <w:left w:val="single" w:sz="4" w:space="4" w:color="auto"/>
          <w:bottom w:val="single" w:sz="4" w:space="1" w:color="auto"/>
          <w:right w:val="single" w:sz="4" w:space="4" w:color="auto"/>
        </w:pBdr>
        <w:rPr>
          <w:lang w:val="en-GB"/>
        </w:rPr>
      </w:pPr>
      <w:r>
        <w:rPr>
          <w:lang w:val="en-GB"/>
        </w:rPr>
        <w:t>The IEA organisation chart</w:t>
      </w:r>
    </w:p>
    <w:p w:rsidR="009B6B31" w:rsidRDefault="009B6B31" w:rsidP="0015517C">
      <w:pPr>
        <w:pBdr>
          <w:top w:val="single" w:sz="4" w:space="1" w:color="auto"/>
          <w:left w:val="single" w:sz="4" w:space="4" w:color="auto"/>
          <w:bottom w:val="single" w:sz="4" w:space="1" w:color="auto"/>
          <w:right w:val="single" w:sz="4" w:space="4" w:color="auto"/>
        </w:pBdr>
        <w:rPr>
          <w:lang w:val="en-GB"/>
        </w:rPr>
      </w:pPr>
      <w:r>
        <w:rPr>
          <w:noProof/>
          <w:lang w:val="en-GB" w:eastAsia="en-GB"/>
        </w:rPr>
        <w:drawing>
          <wp:inline distT="0" distB="0" distL="0" distR="0">
            <wp:extent cx="3924300" cy="1685377"/>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srcRect/>
                    <a:stretch>
                      <a:fillRect/>
                    </a:stretch>
                  </pic:blipFill>
                  <pic:spPr bwMode="auto">
                    <a:xfrm>
                      <a:off x="0" y="0"/>
                      <a:ext cx="3946338" cy="1694842"/>
                    </a:xfrm>
                    <a:prstGeom prst="rect">
                      <a:avLst/>
                    </a:prstGeom>
                    <a:noFill/>
                    <a:ln w="9525">
                      <a:noFill/>
                      <a:miter lim="800000"/>
                      <a:headEnd/>
                      <a:tailEnd/>
                    </a:ln>
                  </pic:spPr>
                </pic:pic>
              </a:graphicData>
            </a:graphic>
          </wp:inline>
        </w:drawing>
      </w:r>
    </w:p>
    <w:p w:rsidR="0015517C" w:rsidRDefault="0015517C" w:rsidP="0015517C">
      <w:pPr>
        <w:pBdr>
          <w:top w:val="single" w:sz="4" w:space="1" w:color="auto"/>
          <w:left w:val="single" w:sz="4" w:space="4" w:color="auto"/>
          <w:bottom w:val="single" w:sz="4" w:space="1" w:color="auto"/>
          <w:right w:val="single" w:sz="4" w:space="4" w:color="auto"/>
        </w:pBdr>
        <w:rPr>
          <w:lang w:val="en-GB"/>
        </w:rPr>
      </w:pPr>
    </w:p>
    <w:p w:rsidR="00EF7118" w:rsidRDefault="00EF7118" w:rsidP="0015517C">
      <w:pPr>
        <w:rPr>
          <w:lang w:val="en-GB"/>
        </w:rPr>
      </w:pPr>
      <w:r>
        <w:rPr>
          <w:lang w:val="en-GB"/>
        </w:rPr>
        <w:t>Next to the IEA functioning as resource centre IEA has the task to organise knowledge management within ONEP as a whole. ONEP has some 7000 staff and it is felt the information management and knowledge sharing can be improved.</w:t>
      </w:r>
    </w:p>
    <w:p w:rsidR="0015517C" w:rsidRPr="00934FAA" w:rsidRDefault="004003EA" w:rsidP="00EF7118">
      <w:pPr>
        <w:rPr>
          <w:b/>
          <w:bCs/>
          <w:lang w:val="en-GB"/>
        </w:rPr>
      </w:pPr>
      <w:r>
        <w:rPr>
          <w:b/>
          <w:bCs/>
          <w:lang w:val="en-GB"/>
        </w:rPr>
        <w:t xml:space="preserve">3 </w:t>
      </w:r>
      <w:r w:rsidR="0015517C" w:rsidRPr="00934FAA">
        <w:rPr>
          <w:b/>
          <w:bCs/>
          <w:lang w:val="en-GB"/>
        </w:rPr>
        <w:t>Participant list</w:t>
      </w:r>
    </w:p>
    <w:tbl>
      <w:tblPr>
        <w:tblStyle w:val="TableGrid"/>
        <w:tblW w:w="9322" w:type="dxa"/>
        <w:tblLook w:val="04A0"/>
      </w:tblPr>
      <w:tblGrid>
        <w:gridCol w:w="3107"/>
        <w:gridCol w:w="3107"/>
        <w:gridCol w:w="3108"/>
      </w:tblGrid>
      <w:tr w:rsidR="003315B6" w:rsidTr="003315B6">
        <w:tc>
          <w:tcPr>
            <w:tcW w:w="3107" w:type="dxa"/>
          </w:tcPr>
          <w:p w:rsidR="003315B6" w:rsidRDefault="003315B6" w:rsidP="00934FAA">
            <w:pPr>
              <w:rPr>
                <w:lang w:val="fr-FR"/>
              </w:rPr>
            </w:pPr>
            <w:r w:rsidRPr="006A65FF">
              <w:rPr>
                <w:lang w:val="fr-FR"/>
              </w:rPr>
              <w:t>Smahane Fejry</w:t>
            </w:r>
          </w:p>
        </w:tc>
        <w:tc>
          <w:tcPr>
            <w:tcW w:w="3107" w:type="dxa"/>
          </w:tcPr>
          <w:p w:rsidR="003315B6" w:rsidRDefault="003315B6" w:rsidP="00934FAA">
            <w:pPr>
              <w:rPr>
                <w:lang w:val="fr-FR"/>
              </w:rPr>
            </w:pPr>
            <w:r w:rsidRPr="006A65FF">
              <w:rPr>
                <w:lang w:val="fr-FR"/>
              </w:rPr>
              <w:t>Latifa Allach</w:t>
            </w:r>
          </w:p>
        </w:tc>
        <w:tc>
          <w:tcPr>
            <w:tcW w:w="3108" w:type="dxa"/>
          </w:tcPr>
          <w:p w:rsidR="003315B6" w:rsidRDefault="003315B6" w:rsidP="00934FAA">
            <w:pPr>
              <w:rPr>
                <w:lang w:val="fr-FR"/>
              </w:rPr>
            </w:pPr>
            <w:r w:rsidRPr="006A65FF">
              <w:rPr>
                <w:lang w:val="fr-FR"/>
              </w:rPr>
              <w:t>Bouchra Nazih</w:t>
            </w:r>
          </w:p>
        </w:tc>
      </w:tr>
      <w:tr w:rsidR="003315B6" w:rsidTr="003315B6">
        <w:tc>
          <w:tcPr>
            <w:tcW w:w="3107" w:type="dxa"/>
          </w:tcPr>
          <w:p w:rsidR="003315B6" w:rsidRDefault="003315B6" w:rsidP="006A65FF">
            <w:pPr>
              <w:rPr>
                <w:lang w:val="fr-FR"/>
              </w:rPr>
            </w:pPr>
            <w:r w:rsidRPr="006A65FF">
              <w:rPr>
                <w:lang w:val="fr-FR"/>
              </w:rPr>
              <w:t>Mehdi T</w:t>
            </w:r>
            <w:r>
              <w:rPr>
                <w:lang w:val="fr-FR"/>
              </w:rPr>
              <w:t>amtamaouy</w:t>
            </w:r>
          </w:p>
        </w:tc>
        <w:tc>
          <w:tcPr>
            <w:tcW w:w="3107" w:type="dxa"/>
          </w:tcPr>
          <w:p w:rsidR="003315B6" w:rsidRDefault="003315B6" w:rsidP="006A65FF">
            <w:pPr>
              <w:rPr>
                <w:lang w:val="fr-FR"/>
              </w:rPr>
            </w:pPr>
            <w:r w:rsidRPr="006A65FF">
              <w:rPr>
                <w:lang w:val="fr-FR"/>
              </w:rPr>
              <w:t>Youssef E</w:t>
            </w:r>
            <w:r>
              <w:rPr>
                <w:lang w:val="fr-FR"/>
              </w:rPr>
              <w:t>lmaadadi</w:t>
            </w:r>
          </w:p>
        </w:tc>
        <w:tc>
          <w:tcPr>
            <w:tcW w:w="3108" w:type="dxa"/>
          </w:tcPr>
          <w:p w:rsidR="003315B6" w:rsidRDefault="003315B6" w:rsidP="00934FAA">
            <w:pPr>
              <w:rPr>
                <w:lang w:val="fr-FR"/>
              </w:rPr>
            </w:pPr>
            <w:r w:rsidRPr="006A65FF">
              <w:rPr>
                <w:lang w:val="fr-FR"/>
              </w:rPr>
              <w:t>Bouchra Naji</w:t>
            </w:r>
          </w:p>
        </w:tc>
      </w:tr>
      <w:tr w:rsidR="003315B6" w:rsidTr="003315B6">
        <w:tc>
          <w:tcPr>
            <w:tcW w:w="3107" w:type="dxa"/>
          </w:tcPr>
          <w:p w:rsidR="003315B6" w:rsidRDefault="003315B6" w:rsidP="006A65FF">
            <w:pPr>
              <w:rPr>
                <w:lang w:val="fr-FR"/>
              </w:rPr>
            </w:pPr>
            <w:r w:rsidRPr="006A65FF">
              <w:rPr>
                <w:lang w:val="fr-FR"/>
              </w:rPr>
              <w:t>Samir B</w:t>
            </w:r>
            <w:r>
              <w:rPr>
                <w:lang w:val="fr-FR"/>
              </w:rPr>
              <w:t>ensaid</w:t>
            </w:r>
          </w:p>
        </w:tc>
        <w:tc>
          <w:tcPr>
            <w:tcW w:w="3107" w:type="dxa"/>
          </w:tcPr>
          <w:p w:rsidR="003315B6" w:rsidRDefault="003315B6" w:rsidP="006A65FF">
            <w:pPr>
              <w:rPr>
                <w:lang w:val="fr-FR"/>
              </w:rPr>
            </w:pPr>
            <w:r w:rsidRPr="006A65FF">
              <w:rPr>
                <w:lang w:val="fr-FR"/>
              </w:rPr>
              <w:t>Mohamed L</w:t>
            </w:r>
            <w:r>
              <w:rPr>
                <w:lang w:val="fr-FR"/>
              </w:rPr>
              <w:t>aaouan</w:t>
            </w:r>
          </w:p>
        </w:tc>
        <w:tc>
          <w:tcPr>
            <w:tcW w:w="3108" w:type="dxa"/>
          </w:tcPr>
          <w:p w:rsidR="003315B6" w:rsidRDefault="003315B6" w:rsidP="00934FAA">
            <w:pPr>
              <w:rPr>
                <w:lang w:val="fr-FR"/>
              </w:rPr>
            </w:pPr>
            <w:r w:rsidRPr="006A65FF">
              <w:rPr>
                <w:lang w:val="fr-FR"/>
              </w:rPr>
              <w:t>Hassan Chahid</w:t>
            </w:r>
          </w:p>
        </w:tc>
      </w:tr>
      <w:tr w:rsidR="003315B6" w:rsidTr="003315B6">
        <w:tc>
          <w:tcPr>
            <w:tcW w:w="3107" w:type="dxa"/>
          </w:tcPr>
          <w:p w:rsidR="003315B6" w:rsidRDefault="003315B6" w:rsidP="006A65FF">
            <w:pPr>
              <w:rPr>
                <w:lang w:val="fr-FR"/>
              </w:rPr>
            </w:pPr>
            <w:r w:rsidRPr="006A65FF">
              <w:rPr>
                <w:lang w:val="fr-FR"/>
              </w:rPr>
              <w:t>Abderrafii M</w:t>
            </w:r>
            <w:r>
              <w:rPr>
                <w:lang w:val="fr-FR"/>
              </w:rPr>
              <w:t>ardi</w:t>
            </w:r>
          </w:p>
        </w:tc>
        <w:tc>
          <w:tcPr>
            <w:tcW w:w="3107" w:type="dxa"/>
          </w:tcPr>
          <w:p w:rsidR="003315B6" w:rsidRDefault="003315B6" w:rsidP="006A65FF">
            <w:pPr>
              <w:rPr>
                <w:lang w:val="fr-FR"/>
              </w:rPr>
            </w:pPr>
            <w:r w:rsidRPr="006A65FF">
              <w:rPr>
                <w:lang w:val="fr-FR"/>
              </w:rPr>
              <w:t>Mustapha M</w:t>
            </w:r>
            <w:r>
              <w:rPr>
                <w:lang w:val="fr-FR"/>
              </w:rPr>
              <w:t>ahi</w:t>
            </w:r>
          </w:p>
        </w:tc>
        <w:tc>
          <w:tcPr>
            <w:tcW w:w="3108" w:type="dxa"/>
          </w:tcPr>
          <w:p w:rsidR="003315B6" w:rsidRDefault="003315B6" w:rsidP="00934FAA">
            <w:pPr>
              <w:rPr>
                <w:lang w:val="fr-FR"/>
              </w:rPr>
            </w:pPr>
            <w:r w:rsidRPr="006A65FF">
              <w:rPr>
                <w:lang w:val="fr-FR"/>
              </w:rPr>
              <w:t>Omar Zmane</w:t>
            </w:r>
          </w:p>
        </w:tc>
      </w:tr>
      <w:tr w:rsidR="003315B6" w:rsidTr="003315B6">
        <w:tc>
          <w:tcPr>
            <w:tcW w:w="3107" w:type="dxa"/>
          </w:tcPr>
          <w:p w:rsidR="003315B6" w:rsidRDefault="003315B6" w:rsidP="006A65FF">
            <w:pPr>
              <w:rPr>
                <w:lang w:val="fr-FR"/>
              </w:rPr>
            </w:pPr>
            <w:r w:rsidRPr="006A65FF">
              <w:rPr>
                <w:lang w:val="fr-FR"/>
              </w:rPr>
              <w:t>Mokhtar J</w:t>
            </w:r>
            <w:r>
              <w:rPr>
                <w:lang w:val="fr-FR"/>
              </w:rPr>
              <w:t>aait</w:t>
            </w:r>
          </w:p>
        </w:tc>
        <w:tc>
          <w:tcPr>
            <w:tcW w:w="3107" w:type="dxa"/>
          </w:tcPr>
          <w:p w:rsidR="003315B6" w:rsidRDefault="003315B6" w:rsidP="006A65FF">
            <w:pPr>
              <w:rPr>
                <w:lang w:val="fr-FR"/>
              </w:rPr>
            </w:pPr>
            <w:r w:rsidRPr="006A65FF">
              <w:rPr>
                <w:lang w:val="fr-FR"/>
              </w:rPr>
              <w:t>Mahmoud H</w:t>
            </w:r>
            <w:r>
              <w:rPr>
                <w:lang w:val="fr-FR"/>
              </w:rPr>
              <w:t>afsi</w:t>
            </w:r>
          </w:p>
        </w:tc>
        <w:tc>
          <w:tcPr>
            <w:tcW w:w="3108" w:type="dxa"/>
          </w:tcPr>
          <w:p w:rsidR="003315B6" w:rsidRDefault="003315B6" w:rsidP="00934FAA">
            <w:pPr>
              <w:rPr>
                <w:lang w:val="fr-FR"/>
              </w:rPr>
            </w:pPr>
            <w:r w:rsidRPr="006A65FF">
              <w:rPr>
                <w:lang w:val="fr-FR"/>
              </w:rPr>
              <w:t>Abderrahim Khadir</w:t>
            </w:r>
          </w:p>
        </w:tc>
      </w:tr>
      <w:tr w:rsidR="003315B6" w:rsidTr="003315B6">
        <w:tc>
          <w:tcPr>
            <w:tcW w:w="3107" w:type="dxa"/>
          </w:tcPr>
          <w:p w:rsidR="003315B6" w:rsidRDefault="003315B6" w:rsidP="006A65FF">
            <w:pPr>
              <w:rPr>
                <w:lang w:val="fr-FR"/>
              </w:rPr>
            </w:pPr>
            <w:r w:rsidRPr="006A65FF">
              <w:rPr>
                <w:lang w:val="fr-FR"/>
              </w:rPr>
              <w:t>Samira A</w:t>
            </w:r>
            <w:r>
              <w:rPr>
                <w:lang w:val="fr-FR"/>
              </w:rPr>
              <w:t>mrani</w:t>
            </w:r>
          </w:p>
        </w:tc>
        <w:tc>
          <w:tcPr>
            <w:tcW w:w="3107" w:type="dxa"/>
          </w:tcPr>
          <w:p w:rsidR="003315B6" w:rsidRDefault="003315B6" w:rsidP="006A65FF">
            <w:pPr>
              <w:rPr>
                <w:lang w:val="fr-FR"/>
              </w:rPr>
            </w:pPr>
            <w:r w:rsidRPr="006A65FF">
              <w:rPr>
                <w:lang w:val="fr-FR"/>
              </w:rPr>
              <w:t>Mustapha H</w:t>
            </w:r>
            <w:r>
              <w:rPr>
                <w:lang w:val="fr-FR"/>
              </w:rPr>
              <w:t>ajji</w:t>
            </w:r>
          </w:p>
        </w:tc>
        <w:tc>
          <w:tcPr>
            <w:tcW w:w="3108" w:type="dxa"/>
          </w:tcPr>
          <w:p w:rsidR="003315B6" w:rsidRDefault="003315B6" w:rsidP="00934FAA">
            <w:pPr>
              <w:rPr>
                <w:lang w:val="fr-FR"/>
              </w:rPr>
            </w:pPr>
          </w:p>
        </w:tc>
      </w:tr>
      <w:tr w:rsidR="003315B6" w:rsidTr="003315B6">
        <w:tc>
          <w:tcPr>
            <w:tcW w:w="3107" w:type="dxa"/>
          </w:tcPr>
          <w:p w:rsidR="003315B6" w:rsidRDefault="003315B6" w:rsidP="006A65FF">
            <w:pPr>
              <w:rPr>
                <w:lang w:val="fr-FR"/>
              </w:rPr>
            </w:pPr>
            <w:r w:rsidRPr="006A65FF">
              <w:rPr>
                <w:lang w:val="fr-FR"/>
              </w:rPr>
              <w:t>Salah B</w:t>
            </w:r>
            <w:r>
              <w:rPr>
                <w:lang w:val="fr-FR"/>
              </w:rPr>
              <w:t>erhil</w:t>
            </w:r>
          </w:p>
        </w:tc>
        <w:tc>
          <w:tcPr>
            <w:tcW w:w="3107" w:type="dxa"/>
          </w:tcPr>
          <w:p w:rsidR="003315B6" w:rsidRDefault="003315B6" w:rsidP="00934FAA">
            <w:pPr>
              <w:rPr>
                <w:lang w:val="fr-FR"/>
              </w:rPr>
            </w:pPr>
            <w:r w:rsidRPr="006A65FF">
              <w:rPr>
                <w:lang w:val="fr-FR"/>
              </w:rPr>
              <w:t>Mohamed ASSAFI</w:t>
            </w:r>
          </w:p>
        </w:tc>
        <w:tc>
          <w:tcPr>
            <w:tcW w:w="3108" w:type="dxa"/>
          </w:tcPr>
          <w:p w:rsidR="003315B6" w:rsidRDefault="003315B6" w:rsidP="00934FAA">
            <w:pPr>
              <w:rPr>
                <w:lang w:val="fr-FR"/>
              </w:rPr>
            </w:pPr>
          </w:p>
        </w:tc>
      </w:tr>
      <w:tr w:rsidR="003315B6" w:rsidTr="003315B6">
        <w:tc>
          <w:tcPr>
            <w:tcW w:w="3107" w:type="dxa"/>
          </w:tcPr>
          <w:p w:rsidR="003315B6" w:rsidRDefault="003315B6" w:rsidP="006A65FF">
            <w:pPr>
              <w:rPr>
                <w:lang w:val="fr-FR"/>
              </w:rPr>
            </w:pPr>
            <w:r w:rsidRPr="006A65FF">
              <w:rPr>
                <w:lang w:val="fr-FR"/>
              </w:rPr>
              <w:t>Laila N</w:t>
            </w:r>
            <w:r>
              <w:rPr>
                <w:lang w:val="fr-FR"/>
              </w:rPr>
              <w:t>aji</w:t>
            </w:r>
          </w:p>
        </w:tc>
        <w:tc>
          <w:tcPr>
            <w:tcW w:w="3107" w:type="dxa"/>
          </w:tcPr>
          <w:p w:rsidR="003315B6" w:rsidRDefault="003315B6" w:rsidP="00934FAA">
            <w:pPr>
              <w:rPr>
                <w:lang w:val="fr-FR"/>
              </w:rPr>
            </w:pPr>
            <w:r w:rsidRPr="006A65FF">
              <w:rPr>
                <w:lang w:val="fr-FR"/>
              </w:rPr>
              <w:t>Khadija Elaamri</w:t>
            </w:r>
          </w:p>
        </w:tc>
        <w:tc>
          <w:tcPr>
            <w:tcW w:w="3108" w:type="dxa"/>
          </w:tcPr>
          <w:p w:rsidR="003315B6" w:rsidRDefault="003315B6" w:rsidP="00934FAA">
            <w:pPr>
              <w:rPr>
                <w:lang w:val="fr-FR"/>
              </w:rPr>
            </w:pPr>
            <w:r w:rsidRPr="00934FAA">
              <w:rPr>
                <w:lang w:val="fr-FR"/>
              </w:rPr>
              <w:t>Jaap Pels, IRC</w:t>
            </w:r>
          </w:p>
        </w:tc>
      </w:tr>
    </w:tbl>
    <w:p w:rsidR="006A65FF" w:rsidRDefault="006A65FF">
      <w:pPr>
        <w:rPr>
          <w:lang w:val="fr-FR"/>
        </w:rPr>
      </w:pPr>
    </w:p>
    <w:p w:rsidR="006A65FF" w:rsidRDefault="006A65FF">
      <w:pPr>
        <w:rPr>
          <w:lang w:val="fr-FR"/>
        </w:rPr>
      </w:pPr>
      <w:r>
        <w:rPr>
          <w:lang w:val="fr-FR"/>
        </w:rPr>
        <w:br w:type="page"/>
      </w:r>
    </w:p>
    <w:p w:rsidR="009B6B31" w:rsidRPr="00934FAA" w:rsidRDefault="004003EA" w:rsidP="00EF7118">
      <w:pPr>
        <w:rPr>
          <w:b/>
          <w:bCs/>
          <w:lang w:val="en-GB"/>
        </w:rPr>
      </w:pPr>
      <w:r>
        <w:rPr>
          <w:b/>
          <w:bCs/>
          <w:lang w:val="en-GB"/>
        </w:rPr>
        <w:lastRenderedPageBreak/>
        <w:t xml:space="preserve">4 </w:t>
      </w:r>
      <w:r w:rsidR="009B6B31" w:rsidRPr="00934FAA">
        <w:rPr>
          <w:b/>
          <w:bCs/>
          <w:lang w:val="en-GB"/>
        </w:rPr>
        <w:t>The method</w:t>
      </w:r>
    </w:p>
    <w:p w:rsidR="00C93C8E" w:rsidRDefault="009E6EE7" w:rsidP="009B6B31">
      <w:pPr>
        <w:rPr>
          <w:lang w:val="en-GB"/>
        </w:rPr>
      </w:pPr>
      <w:r>
        <w:rPr>
          <w:lang w:val="en-GB"/>
        </w:rPr>
        <w:t>IRC organised the</w:t>
      </w:r>
      <w:r w:rsidR="009B6B31">
        <w:rPr>
          <w:lang w:val="en-GB"/>
        </w:rPr>
        <w:t xml:space="preserve"> knowledge management (KM) workshop using the theory of Weggeman as central model. The model comes with a KM scan to take inventory of the perceived situation by as much as staff as possible in respect to KM. The KM scan is a questionnaire.</w:t>
      </w:r>
      <w:r>
        <w:rPr>
          <w:lang w:val="en-GB"/>
        </w:rPr>
        <w:t xml:space="preserve"> An example is given in chapter 6.</w:t>
      </w:r>
    </w:p>
    <w:p w:rsidR="00FA20C3" w:rsidRDefault="00FA20C3" w:rsidP="00FA20C3">
      <w:pPr>
        <w:rPr>
          <w:lang w:val="en-GB"/>
        </w:rPr>
      </w:pPr>
      <w:r w:rsidRPr="00FA20C3">
        <w:rPr>
          <w:lang w:val="en-GB"/>
        </w:rPr>
        <w:t>The learning by doing steps to take during the workshop are :</w:t>
      </w:r>
      <w:r w:rsidR="009E6EE7">
        <w:rPr>
          <w:lang w:val="en-GB"/>
        </w:rPr>
        <w:t xml:space="preserve"> 1) Scan the e</w:t>
      </w:r>
      <w:r w:rsidRPr="00FA20C3">
        <w:rPr>
          <w:lang w:val="en-GB"/>
        </w:rPr>
        <w:t xml:space="preserve">nvironment </w:t>
      </w:r>
      <w:r>
        <w:rPr>
          <w:lang w:val="en-GB"/>
        </w:rPr>
        <w:t>off</w:t>
      </w:r>
      <w:r w:rsidRPr="00FA20C3">
        <w:rPr>
          <w:lang w:val="en-GB"/>
        </w:rPr>
        <w:t xml:space="preserve"> IEA</w:t>
      </w:r>
      <w:r>
        <w:rPr>
          <w:lang w:val="en-GB"/>
        </w:rPr>
        <w:t xml:space="preserve">, 2) </w:t>
      </w:r>
      <w:r w:rsidRPr="00FA20C3">
        <w:rPr>
          <w:lang w:val="en-GB"/>
        </w:rPr>
        <w:t>Mission</w:t>
      </w:r>
      <w:r>
        <w:rPr>
          <w:lang w:val="en-GB"/>
        </w:rPr>
        <w:t xml:space="preserve">, 3) </w:t>
      </w:r>
      <w:r w:rsidRPr="00FA20C3">
        <w:rPr>
          <w:lang w:val="en-GB"/>
        </w:rPr>
        <w:t xml:space="preserve">Vision, 4) </w:t>
      </w:r>
      <w:r>
        <w:rPr>
          <w:lang w:val="en-GB"/>
        </w:rPr>
        <w:t xml:space="preserve">Goals – Objectives, 5) </w:t>
      </w:r>
      <w:r w:rsidRPr="00FA20C3">
        <w:rPr>
          <w:lang w:val="en-GB"/>
        </w:rPr>
        <w:t>Knowledge</w:t>
      </w:r>
      <w:r>
        <w:rPr>
          <w:lang w:val="en-GB"/>
        </w:rPr>
        <w:t xml:space="preserve"> value chain for objective A, B, C, 6) </w:t>
      </w:r>
      <w:r w:rsidRPr="00FA20C3">
        <w:rPr>
          <w:lang w:val="en-GB"/>
        </w:rPr>
        <w:t>Details</w:t>
      </w:r>
      <w:r>
        <w:rPr>
          <w:lang w:val="en-GB"/>
        </w:rPr>
        <w:t xml:space="preserve"> KM activities / processes</w:t>
      </w:r>
      <w:r w:rsidRPr="00FA20C3">
        <w:rPr>
          <w:lang w:val="en-GB"/>
        </w:rPr>
        <w:t xml:space="preserve"> personal level</w:t>
      </w:r>
      <w:r>
        <w:rPr>
          <w:lang w:val="en-GB"/>
        </w:rPr>
        <w:t xml:space="preserve">, 7) </w:t>
      </w:r>
      <w:r w:rsidRPr="00FA20C3">
        <w:rPr>
          <w:lang w:val="en-GB"/>
        </w:rPr>
        <w:t>Details</w:t>
      </w:r>
      <w:r>
        <w:rPr>
          <w:lang w:val="en-GB"/>
        </w:rPr>
        <w:t xml:space="preserve"> on</w:t>
      </w:r>
      <w:r w:rsidRPr="00FA20C3">
        <w:rPr>
          <w:lang w:val="en-GB"/>
        </w:rPr>
        <w:t xml:space="preserve"> organizational level (</w:t>
      </w:r>
      <w:r>
        <w:rPr>
          <w:lang w:val="en-GB"/>
        </w:rPr>
        <w:t xml:space="preserve">including the </w:t>
      </w:r>
      <w:r w:rsidRPr="00FA20C3">
        <w:rPr>
          <w:lang w:val="en-GB"/>
        </w:rPr>
        <w:t>KM scan)</w:t>
      </w:r>
      <w:r>
        <w:rPr>
          <w:lang w:val="en-GB"/>
        </w:rPr>
        <w:t xml:space="preserve">, 8) </w:t>
      </w:r>
      <w:r w:rsidRPr="00FA20C3">
        <w:rPr>
          <w:lang w:val="en-GB"/>
        </w:rPr>
        <w:t>Details network level</w:t>
      </w:r>
      <w:r>
        <w:rPr>
          <w:lang w:val="en-GB"/>
        </w:rPr>
        <w:t xml:space="preserve"> (IEA’s operating environment) and 10) detail activities on the level of ‘w</w:t>
      </w:r>
      <w:r w:rsidRPr="00FA20C3">
        <w:rPr>
          <w:lang w:val="en-GB"/>
        </w:rPr>
        <w:t xml:space="preserve">hat, </w:t>
      </w:r>
      <w:r>
        <w:rPr>
          <w:lang w:val="en-GB"/>
        </w:rPr>
        <w:t xml:space="preserve">who, when’ given the ‘why’ stems from vision, mission and objective </w:t>
      </w:r>
      <w:r w:rsidRPr="00FA20C3">
        <w:rPr>
          <w:lang w:val="en-GB"/>
        </w:rPr>
        <w:t>and</w:t>
      </w:r>
      <w:r>
        <w:rPr>
          <w:lang w:val="en-GB"/>
        </w:rPr>
        <w:t xml:space="preserve"> the ‘</w:t>
      </w:r>
      <w:r w:rsidRPr="00FA20C3">
        <w:rPr>
          <w:lang w:val="en-GB"/>
        </w:rPr>
        <w:t>how</w:t>
      </w:r>
      <w:r>
        <w:rPr>
          <w:lang w:val="en-GB"/>
        </w:rPr>
        <w:t>’ is operational.</w:t>
      </w:r>
      <w:r w:rsidR="009E6EE7">
        <w:rPr>
          <w:lang w:val="en-GB"/>
        </w:rPr>
        <w:t xml:space="preserve"> In the course of this report all steps will be addressed.</w:t>
      </w:r>
    </w:p>
    <w:p w:rsidR="00C86559" w:rsidRDefault="00C86559" w:rsidP="00FA20C3">
      <w:pPr>
        <w:rPr>
          <w:lang w:val="en-GB"/>
        </w:rPr>
      </w:pPr>
    </w:p>
    <w:p w:rsidR="00C86559" w:rsidRPr="00C86559" w:rsidRDefault="004003EA" w:rsidP="00FA20C3">
      <w:pPr>
        <w:rPr>
          <w:b/>
          <w:bCs/>
          <w:lang w:val="en-GB"/>
        </w:rPr>
      </w:pPr>
      <w:r>
        <w:rPr>
          <w:b/>
          <w:bCs/>
          <w:lang w:val="en-GB"/>
        </w:rPr>
        <w:t xml:space="preserve">5 </w:t>
      </w:r>
      <w:r w:rsidR="00C86559" w:rsidRPr="00C86559">
        <w:rPr>
          <w:b/>
          <w:bCs/>
          <w:lang w:val="en-GB"/>
        </w:rPr>
        <w:t>The content</w:t>
      </w:r>
    </w:p>
    <w:p w:rsidR="006C7B2E" w:rsidRDefault="006C7B2E" w:rsidP="006C7B2E">
      <w:pPr>
        <w:rPr>
          <w:lang w:val="en-GB"/>
        </w:rPr>
      </w:pPr>
      <w:r w:rsidRPr="006C7B2E">
        <w:rPr>
          <w:lang w:val="en-GB"/>
        </w:rPr>
        <w:t xml:space="preserve">An organisation operates in an environment. </w:t>
      </w:r>
      <w:r>
        <w:rPr>
          <w:lang w:val="en-GB"/>
        </w:rPr>
        <w:t>To get a better grasp, discuss and increase mutual understanding amongst participants, t</w:t>
      </w:r>
      <w:r w:rsidRPr="006C7B2E">
        <w:rPr>
          <w:lang w:val="en-GB"/>
        </w:rPr>
        <w:t>he first exercise the workshop participants worked on was to make a pos</w:t>
      </w:r>
      <w:r>
        <w:rPr>
          <w:lang w:val="en-GB"/>
        </w:rPr>
        <w:t xml:space="preserve">ter of IEA – ONEP in its operating environment and report back to the group in three minutes (the elevator pitch method). </w:t>
      </w:r>
    </w:p>
    <w:p w:rsidR="00FA20C3" w:rsidRDefault="00FA20C3" w:rsidP="0015517C">
      <w:pPr>
        <w:pBdr>
          <w:top w:val="single" w:sz="4" w:space="1" w:color="auto"/>
          <w:left w:val="single" w:sz="4" w:space="4" w:color="auto"/>
          <w:bottom w:val="single" w:sz="4" w:space="1" w:color="auto"/>
          <w:right w:val="single" w:sz="4" w:space="4" w:color="auto"/>
        </w:pBdr>
        <w:rPr>
          <w:lang w:val="en-GB"/>
        </w:rPr>
      </w:pPr>
      <w:r>
        <w:rPr>
          <w:lang w:val="en-GB"/>
        </w:rPr>
        <w:t>Group work on IEA and its operating environment: group A, B, IRC, C (left + right) and D.</w:t>
      </w:r>
    </w:p>
    <w:p w:rsidR="00FA20C3" w:rsidRDefault="006C7B2E" w:rsidP="0015517C">
      <w:pPr>
        <w:pBdr>
          <w:top w:val="single" w:sz="4" w:space="1" w:color="auto"/>
          <w:left w:val="single" w:sz="4" w:space="4" w:color="auto"/>
          <w:bottom w:val="single" w:sz="4" w:space="1" w:color="auto"/>
          <w:right w:val="single" w:sz="4" w:space="4" w:color="auto"/>
        </w:pBdr>
        <w:rPr>
          <w:lang w:val="en-GB"/>
        </w:rPr>
      </w:pPr>
      <w:r>
        <w:rPr>
          <w:noProof/>
          <w:lang w:val="en-GB" w:eastAsia="en-GB"/>
        </w:rPr>
        <w:drawing>
          <wp:inline distT="0" distB="0" distL="0" distR="0">
            <wp:extent cx="1800000" cy="2398952"/>
            <wp:effectExtent l="19050" t="0" r="0" b="0"/>
            <wp:docPr id="8" name="Picture 5" descr="D:\Maroc\Pictures\Groupe-A-IEA-dans-le-secteur-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roc\Pictures\Groupe-A-IEA-dans-le-secteur-WASH.jpg"/>
                    <pic:cNvPicPr>
                      <a:picLocks noChangeAspect="1" noChangeArrowheads="1"/>
                    </pic:cNvPicPr>
                  </pic:nvPicPr>
                  <pic:blipFill>
                    <a:blip r:embed="rId11" cstate="email"/>
                    <a:srcRect/>
                    <a:stretch>
                      <a:fillRect/>
                    </a:stretch>
                  </pic:blipFill>
                  <pic:spPr bwMode="auto">
                    <a:xfrm>
                      <a:off x="0" y="0"/>
                      <a:ext cx="1800000" cy="2398952"/>
                    </a:xfrm>
                    <a:prstGeom prst="rect">
                      <a:avLst/>
                    </a:prstGeom>
                    <a:noFill/>
                    <a:ln w="9525">
                      <a:noFill/>
                      <a:miter lim="800000"/>
                      <a:headEnd/>
                      <a:tailEnd/>
                    </a:ln>
                  </pic:spPr>
                </pic:pic>
              </a:graphicData>
            </a:graphic>
          </wp:inline>
        </w:drawing>
      </w:r>
      <w:r>
        <w:rPr>
          <w:lang w:val="en-GB"/>
        </w:rPr>
        <w:t xml:space="preserve"> </w:t>
      </w:r>
      <w:r w:rsidR="0015517C">
        <w:rPr>
          <w:lang w:val="en-GB"/>
        </w:rPr>
        <w:t xml:space="preserve">   </w:t>
      </w:r>
      <w:r>
        <w:rPr>
          <w:noProof/>
          <w:lang w:val="en-GB" w:eastAsia="en-GB"/>
        </w:rPr>
        <w:drawing>
          <wp:inline distT="0" distB="0" distL="0" distR="0">
            <wp:extent cx="1800000" cy="2398952"/>
            <wp:effectExtent l="19050" t="0" r="0" b="0"/>
            <wp:docPr id="11" name="Picture 8" descr="D:\Maroc\Pictures\Groupe-C-IEA-dans-le-secteur-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roc\Pictures\Groupe-C-IEA-dans-le-secteur-WASH.jpg"/>
                    <pic:cNvPicPr>
                      <a:picLocks noChangeAspect="1" noChangeArrowheads="1"/>
                    </pic:cNvPicPr>
                  </pic:nvPicPr>
                  <pic:blipFill>
                    <a:blip r:embed="rId12" cstate="email"/>
                    <a:srcRect/>
                    <a:stretch>
                      <a:fillRect/>
                    </a:stretch>
                  </pic:blipFill>
                  <pic:spPr bwMode="auto">
                    <a:xfrm>
                      <a:off x="0" y="0"/>
                      <a:ext cx="1800000" cy="2398952"/>
                    </a:xfrm>
                    <a:prstGeom prst="rect">
                      <a:avLst/>
                    </a:prstGeom>
                    <a:noFill/>
                    <a:ln w="9525">
                      <a:noFill/>
                      <a:miter lim="800000"/>
                      <a:headEnd/>
                      <a:tailEnd/>
                    </a:ln>
                  </pic:spPr>
                </pic:pic>
              </a:graphicData>
            </a:graphic>
          </wp:inline>
        </w:drawing>
      </w:r>
      <w:r w:rsidR="00FA20C3">
        <w:rPr>
          <w:lang w:val="en-GB"/>
        </w:rPr>
        <w:t xml:space="preserve"> </w:t>
      </w:r>
      <w:r w:rsidR="0015517C">
        <w:rPr>
          <w:lang w:val="en-GB"/>
        </w:rPr>
        <w:t xml:space="preserve">    </w:t>
      </w:r>
      <w:r w:rsidR="00FA20C3">
        <w:rPr>
          <w:noProof/>
          <w:lang w:val="en-GB" w:eastAsia="en-GB"/>
        </w:rPr>
        <w:drawing>
          <wp:inline distT="0" distB="0" distL="0" distR="0">
            <wp:extent cx="1800000" cy="1351887"/>
            <wp:effectExtent l="19050" t="0" r="0" b="0"/>
            <wp:docPr id="13" name="Picture 10" descr="D:\Maroc\Pictures\IRC-dans-le-secteur-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roc\Pictures\IRC-dans-le-secteur-WASH.jpg"/>
                    <pic:cNvPicPr>
                      <a:picLocks noChangeAspect="1" noChangeArrowheads="1"/>
                    </pic:cNvPicPr>
                  </pic:nvPicPr>
                  <pic:blipFill>
                    <a:blip r:embed="rId13" cstate="email"/>
                    <a:srcRect/>
                    <a:stretch>
                      <a:fillRect/>
                    </a:stretch>
                  </pic:blipFill>
                  <pic:spPr bwMode="auto">
                    <a:xfrm>
                      <a:off x="0" y="0"/>
                      <a:ext cx="1800000" cy="1351887"/>
                    </a:xfrm>
                    <a:prstGeom prst="rect">
                      <a:avLst/>
                    </a:prstGeom>
                    <a:noFill/>
                    <a:ln w="9525">
                      <a:noFill/>
                      <a:miter lim="800000"/>
                      <a:headEnd/>
                      <a:tailEnd/>
                    </a:ln>
                  </pic:spPr>
                </pic:pic>
              </a:graphicData>
            </a:graphic>
          </wp:inline>
        </w:drawing>
      </w:r>
    </w:p>
    <w:p w:rsidR="006C7B2E" w:rsidRDefault="006C7B2E" w:rsidP="0015517C">
      <w:pPr>
        <w:pBdr>
          <w:top w:val="single" w:sz="4" w:space="1" w:color="auto"/>
          <w:left w:val="single" w:sz="4" w:space="4" w:color="auto"/>
          <w:bottom w:val="single" w:sz="4" w:space="1" w:color="auto"/>
          <w:right w:val="single" w:sz="4" w:space="4" w:color="auto"/>
        </w:pBdr>
        <w:rPr>
          <w:lang w:val="en-GB"/>
        </w:rPr>
      </w:pPr>
      <w:r>
        <w:rPr>
          <w:noProof/>
          <w:lang w:val="en-GB" w:eastAsia="en-GB"/>
        </w:rPr>
        <w:drawing>
          <wp:inline distT="0" distB="0" distL="0" distR="0">
            <wp:extent cx="1800000" cy="1350421"/>
            <wp:effectExtent l="19050" t="0" r="0" b="0"/>
            <wp:docPr id="9" name="Picture 6" descr="D:\Maroc\Pictures\Groupe-B-IEA-dans-le-secteur-WASH-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roc\Pictures\Groupe-B-IEA-dans-le-secteur-WASH-Droite.jpg"/>
                    <pic:cNvPicPr>
                      <a:picLocks noChangeAspect="1" noChangeArrowheads="1"/>
                    </pic:cNvPicPr>
                  </pic:nvPicPr>
                  <pic:blipFill>
                    <a:blip r:embed="rId14" cstate="email"/>
                    <a:srcRect/>
                    <a:stretch>
                      <a:fillRect/>
                    </a:stretch>
                  </pic:blipFill>
                  <pic:spPr bwMode="auto">
                    <a:xfrm>
                      <a:off x="0" y="0"/>
                      <a:ext cx="1800000" cy="1350421"/>
                    </a:xfrm>
                    <a:prstGeom prst="rect">
                      <a:avLst/>
                    </a:prstGeom>
                    <a:noFill/>
                    <a:ln w="9525">
                      <a:noFill/>
                      <a:miter lim="800000"/>
                      <a:headEnd/>
                      <a:tailEnd/>
                    </a:ln>
                  </pic:spPr>
                </pic:pic>
              </a:graphicData>
            </a:graphic>
          </wp:inline>
        </w:drawing>
      </w:r>
      <w:r w:rsidR="00FA20C3">
        <w:rPr>
          <w:lang w:val="en-GB"/>
        </w:rPr>
        <w:t xml:space="preserve"> </w:t>
      </w:r>
      <w:r w:rsidR="0015517C">
        <w:rPr>
          <w:lang w:val="en-GB"/>
        </w:rPr>
        <w:t xml:space="preserve">   </w:t>
      </w:r>
      <w:r>
        <w:rPr>
          <w:noProof/>
          <w:lang w:val="en-GB" w:eastAsia="en-GB"/>
        </w:rPr>
        <w:drawing>
          <wp:inline distT="0" distB="0" distL="0" distR="0">
            <wp:extent cx="1800000" cy="1350421"/>
            <wp:effectExtent l="19050" t="0" r="0" b="0"/>
            <wp:docPr id="10" name="Picture 7" descr="D:\Maroc\Pictures\Groupe-B-IEA-dans-le-secteur-WASH-Ga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roc\Pictures\Groupe-B-IEA-dans-le-secteur-WASH-Gauche.jpg"/>
                    <pic:cNvPicPr>
                      <a:picLocks noChangeAspect="1" noChangeArrowheads="1"/>
                    </pic:cNvPicPr>
                  </pic:nvPicPr>
                  <pic:blipFill>
                    <a:blip r:embed="rId15" cstate="email"/>
                    <a:srcRect/>
                    <a:stretch>
                      <a:fillRect/>
                    </a:stretch>
                  </pic:blipFill>
                  <pic:spPr bwMode="auto">
                    <a:xfrm>
                      <a:off x="0" y="0"/>
                      <a:ext cx="1800000" cy="1350421"/>
                    </a:xfrm>
                    <a:prstGeom prst="rect">
                      <a:avLst/>
                    </a:prstGeom>
                    <a:noFill/>
                    <a:ln w="9525">
                      <a:noFill/>
                      <a:miter lim="800000"/>
                      <a:headEnd/>
                      <a:tailEnd/>
                    </a:ln>
                  </pic:spPr>
                </pic:pic>
              </a:graphicData>
            </a:graphic>
          </wp:inline>
        </w:drawing>
      </w:r>
      <w:r w:rsidR="00FA20C3">
        <w:rPr>
          <w:lang w:val="en-GB"/>
        </w:rPr>
        <w:t xml:space="preserve"> </w:t>
      </w:r>
      <w:r w:rsidR="0015517C">
        <w:rPr>
          <w:lang w:val="en-GB"/>
        </w:rPr>
        <w:t xml:space="preserve">    </w:t>
      </w:r>
      <w:r w:rsidR="00FA20C3">
        <w:rPr>
          <w:noProof/>
          <w:lang w:val="en-GB" w:eastAsia="en-GB"/>
        </w:rPr>
        <w:drawing>
          <wp:inline distT="0" distB="0" distL="0" distR="0">
            <wp:extent cx="1800000" cy="1350421"/>
            <wp:effectExtent l="19050" t="0" r="0" b="0"/>
            <wp:docPr id="14" name="Picture 9" descr="D:\Maroc\Pictures\Groupe-D-IEA-dans-le-secteur-W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roc\Pictures\Groupe-D-IEA-dans-le-secteur-WASH.jpg"/>
                    <pic:cNvPicPr>
                      <a:picLocks noChangeAspect="1" noChangeArrowheads="1"/>
                    </pic:cNvPicPr>
                  </pic:nvPicPr>
                  <pic:blipFill>
                    <a:blip r:embed="rId16" cstate="email"/>
                    <a:srcRect/>
                    <a:stretch>
                      <a:fillRect/>
                    </a:stretch>
                  </pic:blipFill>
                  <pic:spPr bwMode="auto">
                    <a:xfrm>
                      <a:off x="0" y="0"/>
                      <a:ext cx="1800000" cy="1350421"/>
                    </a:xfrm>
                    <a:prstGeom prst="rect">
                      <a:avLst/>
                    </a:prstGeom>
                    <a:noFill/>
                    <a:ln w="9525">
                      <a:noFill/>
                      <a:miter lim="800000"/>
                      <a:headEnd/>
                      <a:tailEnd/>
                    </a:ln>
                  </pic:spPr>
                </pic:pic>
              </a:graphicData>
            </a:graphic>
          </wp:inline>
        </w:drawing>
      </w:r>
    </w:p>
    <w:p w:rsidR="0015517C" w:rsidRDefault="0015517C" w:rsidP="0015517C">
      <w:pPr>
        <w:pBdr>
          <w:top w:val="single" w:sz="4" w:space="1" w:color="auto"/>
          <w:left w:val="single" w:sz="4" w:space="4" w:color="auto"/>
          <w:bottom w:val="single" w:sz="4" w:space="1" w:color="auto"/>
          <w:right w:val="single" w:sz="4" w:space="4" w:color="auto"/>
        </w:pBdr>
        <w:rPr>
          <w:lang w:val="en-GB"/>
        </w:rPr>
      </w:pPr>
    </w:p>
    <w:p w:rsidR="0015517C" w:rsidRDefault="00C86559" w:rsidP="00FA20C3">
      <w:pPr>
        <w:rPr>
          <w:lang w:val="en-GB"/>
        </w:rPr>
      </w:pPr>
      <w:r>
        <w:rPr>
          <w:lang w:val="en-GB"/>
        </w:rPr>
        <w:lastRenderedPageBreak/>
        <w:t>After understanding the</w:t>
      </w:r>
      <w:r w:rsidR="0015517C">
        <w:rPr>
          <w:lang w:val="en-GB"/>
        </w:rPr>
        <w:t xml:space="preserve"> IEA environment the participants focussed on the IEA vision and mission, again by means of group-work / discussion. The groups found out that this was not an easy and straight forward topic and assignment, but essential to generate a list of organisational objectives.</w:t>
      </w:r>
      <w:r w:rsidR="0015517C">
        <w:rPr>
          <w:lang w:val="en-GB"/>
        </w:rPr>
        <w:br/>
      </w:r>
    </w:p>
    <w:p w:rsidR="00634249" w:rsidRDefault="00634249" w:rsidP="00634249">
      <w:pPr>
        <w:pBdr>
          <w:top w:val="single" w:sz="4" w:space="1" w:color="auto"/>
          <w:left w:val="single" w:sz="4" w:space="4" w:color="auto"/>
          <w:bottom w:val="single" w:sz="4" w:space="1" w:color="auto"/>
          <w:right w:val="single" w:sz="4" w:space="4" w:color="auto"/>
        </w:pBdr>
        <w:rPr>
          <w:lang w:val="en-GB"/>
        </w:rPr>
      </w:pPr>
      <w:r>
        <w:rPr>
          <w:lang w:val="en-GB"/>
        </w:rPr>
        <w:t>Results group work on mission, vision and objectives IEA</w:t>
      </w:r>
    </w:p>
    <w:p w:rsidR="0015517C" w:rsidRDefault="0015517C" w:rsidP="00634249">
      <w:pPr>
        <w:pBdr>
          <w:top w:val="single" w:sz="4" w:space="1" w:color="auto"/>
          <w:left w:val="single" w:sz="4" w:space="4" w:color="auto"/>
          <w:bottom w:val="single" w:sz="4" w:space="1" w:color="auto"/>
          <w:right w:val="single" w:sz="4" w:space="4" w:color="auto"/>
        </w:pBdr>
        <w:rPr>
          <w:lang w:val="en-GB"/>
        </w:rPr>
      </w:pPr>
      <w:r>
        <w:rPr>
          <w:noProof/>
          <w:lang w:val="en-GB" w:eastAsia="en-GB"/>
        </w:rPr>
        <w:drawing>
          <wp:inline distT="0" distB="0" distL="0" distR="0">
            <wp:extent cx="2520000" cy="190249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srcRect/>
                    <a:stretch>
                      <a:fillRect/>
                    </a:stretch>
                  </pic:blipFill>
                  <pic:spPr bwMode="auto">
                    <a:xfrm>
                      <a:off x="0" y="0"/>
                      <a:ext cx="2520000" cy="1902493"/>
                    </a:xfrm>
                    <a:prstGeom prst="rect">
                      <a:avLst/>
                    </a:prstGeom>
                    <a:noFill/>
                  </pic:spPr>
                </pic:pic>
              </a:graphicData>
            </a:graphic>
          </wp:inline>
        </w:drawing>
      </w:r>
      <w:r w:rsidR="00634249">
        <w:rPr>
          <w:lang w:val="en-GB"/>
        </w:rPr>
        <w:t xml:space="preserve"> </w:t>
      </w:r>
      <w:r w:rsidR="00634249">
        <w:rPr>
          <w:noProof/>
          <w:lang w:val="en-GB" w:eastAsia="en-GB"/>
        </w:rPr>
        <w:drawing>
          <wp:inline distT="0" distB="0" distL="0" distR="0">
            <wp:extent cx="2520000" cy="1888708"/>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srcRect/>
                    <a:stretch>
                      <a:fillRect/>
                    </a:stretch>
                  </pic:blipFill>
                  <pic:spPr bwMode="auto">
                    <a:xfrm>
                      <a:off x="0" y="0"/>
                      <a:ext cx="2520000" cy="1888708"/>
                    </a:xfrm>
                    <a:prstGeom prst="rect">
                      <a:avLst/>
                    </a:prstGeom>
                    <a:noFill/>
                  </pic:spPr>
                </pic:pic>
              </a:graphicData>
            </a:graphic>
          </wp:inline>
        </w:drawing>
      </w:r>
    </w:p>
    <w:p w:rsidR="00634249" w:rsidRDefault="00634249" w:rsidP="00634249">
      <w:pPr>
        <w:pBdr>
          <w:top w:val="single" w:sz="4" w:space="1" w:color="auto"/>
          <w:left w:val="single" w:sz="4" w:space="4" w:color="auto"/>
          <w:bottom w:val="single" w:sz="4" w:space="1" w:color="auto"/>
          <w:right w:val="single" w:sz="4" w:space="4" w:color="auto"/>
        </w:pBdr>
        <w:rPr>
          <w:lang w:val="en-GB"/>
        </w:rPr>
      </w:pPr>
      <w:r>
        <w:rPr>
          <w:noProof/>
          <w:lang w:val="en-GB" w:eastAsia="en-GB"/>
        </w:rPr>
        <w:drawing>
          <wp:inline distT="0" distB="0" distL="0" distR="0">
            <wp:extent cx="2520000" cy="1895707"/>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srcRect/>
                    <a:stretch>
                      <a:fillRect/>
                    </a:stretch>
                  </pic:blipFill>
                  <pic:spPr bwMode="auto">
                    <a:xfrm>
                      <a:off x="0" y="0"/>
                      <a:ext cx="2520000" cy="1895707"/>
                    </a:xfrm>
                    <a:prstGeom prst="rect">
                      <a:avLst/>
                    </a:prstGeom>
                    <a:noFill/>
                  </pic:spPr>
                </pic:pic>
              </a:graphicData>
            </a:graphic>
          </wp:inline>
        </w:drawing>
      </w:r>
      <w:r>
        <w:rPr>
          <w:lang w:val="en-GB"/>
        </w:rPr>
        <w:t xml:space="preserve"> </w:t>
      </w:r>
      <w:r>
        <w:rPr>
          <w:noProof/>
          <w:lang w:val="en-GB" w:eastAsia="en-GB"/>
        </w:rPr>
        <w:drawing>
          <wp:inline distT="0" distB="0" distL="0" distR="0">
            <wp:extent cx="2520000" cy="1895706"/>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srcRect/>
                    <a:stretch>
                      <a:fillRect/>
                    </a:stretch>
                  </pic:blipFill>
                  <pic:spPr bwMode="auto">
                    <a:xfrm>
                      <a:off x="0" y="0"/>
                      <a:ext cx="2520000" cy="1895706"/>
                    </a:xfrm>
                    <a:prstGeom prst="rect">
                      <a:avLst/>
                    </a:prstGeom>
                    <a:noFill/>
                  </pic:spPr>
                </pic:pic>
              </a:graphicData>
            </a:graphic>
          </wp:inline>
        </w:drawing>
      </w:r>
    </w:p>
    <w:p w:rsidR="00634249" w:rsidRDefault="00634249" w:rsidP="00634249">
      <w:pPr>
        <w:pBdr>
          <w:top w:val="single" w:sz="4" w:space="1" w:color="auto"/>
          <w:left w:val="single" w:sz="4" w:space="4" w:color="auto"/>
          <w:bottom w:val="single" w:sz="4" w:space="1" w:color="auto"/>
          <w:right w:val="single" w:sz="4" w:space="4" w:color="auto"/>
        </w:pBdr>
        <w:rPr>
          <w:lang w:val="en-GB"/>
        </w:rPr>
      </w:pPr>
    </w:p>
    <w:p w:rsidR="00C86559" w:rsidRDefault="00634249" w:rsidP="00634249">
      <w:pPr>
        <w:rPr>
          <w:lang w:val="en-GB"/>
        </w:rPr>
      </w:pPr>
      <w:r>
        <w:rPr>
          <w:lang w:val="en-GB"/>
        </w:rPr>
        <w:t xml:space="preserve">Again in groups participants choose one objective to experiment filling out the knowledge value chain.  </w:t>
      </w:r>
      <w:r w:rsidR="0015517C">
        <w:rPr>
          <w:lang w:val="en-GB"/>
        </w:rPr>
        <w:t>The Weggeman model</w:t>
      </w:r>
      <w:r w:rsidR="009B6B31">
        <w:rPr>
          <w:lang w:val="en-GB"/>
        </w:rPr>
        <w:t xml:space="preserve"> </w:t>
      </w:r>
      <w:r w:rsidR="0015517C">
        <w:rPr>
          <w:lang w:val="en-GB"/>
        </w:rPr>
        <w:t xml:space="preserve">used </w:t>
      </w:r>
      <w:r w:rsidR="00C86559">
        <w:rPr>
          <w:lang w:val="en-GB"/>
        </w:rPr>
        <w:t>- as</w:t>
      </w:r>
      <w:r w:rsidR="006C7B2E">
        <w:rPr>
          <w:lang w:val="en-GB"/>
        </w:rPr>
        <w:t xml:space="preserve"> depicted below – states that an organisation will formulate objectives based on a mission and a vision (top left in the below picture). For every objective</w:t>
      </w:r>
      <w:r w:rsidR="00C86559">
        <w:rPr>
          <w:lang w:val="en-GB"/>
        </w:rPr>
        <w:t xml:space="preserve"> the knowledge value chain (</w:t>
      </w:r>
      <w:r w:rsidR="006C7B2E">
        <w:rPr>
          <w:lang w:val="en-GB"/>
        </w:rPr>
        <w:t>bar in light blue) needs to be reflected on.</w:t>
      </w:r>
    </w:p>
    <w:p w:rsidR="00C86559" w:rsidRDefault="00C86559" w:rsidP="00C86559">
      <w:pPr>
        <w:pBdr>
          <w:top w:val="single" w:sz="4" w:space="1" w:color="auto"/>
          <w:left w:val="single" w:sz="4" w:space="4" w:color="auto"/>
          <w:bottom w:val="single" w:sz="4" w:space="1" w:color="auto"/>
          <w:right w:val="single" w:sz="4" w:space="4" w:color="auto"/>
        </w:pBdr>
        <w:rPr>
          <w:lang w:val="en-GB"/>
        </w:rPr>
      </w:pPr>
      <w:r>
        <w:rPr>
          <w:lang w:val="en-GB"/>
        </w:rPr>
        <w:t>The Knowledge Value Chain</w:t>
      </w:r>
    </w:p>
    <w:p w:rsidR="00C86559" w:rsidRDefault="00C86559" w:rsidP="00C86559">
      <w:pPr>
        <w:pBdr>
          <w:top w:val="single" w:sz="4" w:space="1" w:color="auto"/>
          <w:left w:val="single" w:sz="4" w:space="4" w:color="auto"/>
          <w:bottom w:val="single" w:sz="4" w:space="1" w:color="auto"/>
          <w:right w:val="single" w:sz="4" w:space="4" w:color="auto"/>
        </w:pBdr>
        <w:rPr>
          <w:lang w:val="en-GB"/>
        </w:rPr>
      </w:pPr>
      <w:r w:rsidRPr="00C86559">
        <w:rPr>
          <w:noProof/>
          <w:lang w:val="en-GB" w:eastAsia="en-GB"/>
        </w:rPr>
        <w:drawing>
          <wp:inline distT="0" distB="0" distL="0" distR="0">
            <wp:extent cx="5760720" cy="932764"/>
            <wp:effectExtent l="19050" t="0" r="0" b="0"/>
            <wp:docPr id="2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1295400"/>
                      <a:chOff x="619125" y="1381125"/>
                      <a:chExt cx="8001000" cy="1295400"/>
                    </a:xfrm>
                  </a:grpSpPr>
                  <a:sp>
                    <a:nvSpPr>
                      <a:cNvPr id="5" name="AutoShape 3"/>
                      <a:cNvSpPr>
                        <a:spLocks noChangeArrowheads="1"/>
                      </a:cNvSpPr>
                    </a:nvSpPr>
                    <a:spPr bwMode="auto">
                      <a:xfrm>
                        <a:off x="2143125" y="1381125"/>
                        <a:ext cx="1524000" cy="1295400"/>
                      </a:xfrm>
                      <a:prstGeom prst="homePlate">
                        <a:avLst>
                          <a:gd name="adj" fmla="val 24630"/>
                        </a:avLst>
                      </a:prstGeom>
                      <a:solidFill>
                        <a:schemeClr val="accent1">
                          <a:lumMod val="20000"/>
                          <a:lumOff val="80000"/>
                        </a:schemeClr>
                      </a:solidFill>
                      <a:ln w="12700">
                        <a:solidFill>
                          <a:schemeClr val="accent2"/>
                        </a:solidFill>
                        <a:miter lim="800000"/>
                        <a:headEnd/>
                        <a:tailEnd/>
                      </a:ln>
                    </a:spPr>
                    <a:txSp>
                      <a:txBody>
                        <a:bodyPr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fontAlgn="auto" hangingPunct="0">
                            <a:spcBef>
                              <a:spcPts val="0"/>
                            </a:spcBef>
                            <a:spcAft>
                              <a:spcPts val="0"/>
                            </a:spcAft>
                            <a:defRPr/>
                          </a:pPr>
                          <a:r>
                            <a:rPr lang="en-GB" sz="1600" dirty="0" err="1">
                              <a:latin typeface="Arial" pitchFamily="34" charset="0"/>
                              <a:cs typeface="Arial" pitchFamily="34" charset="0"/>
                            </a:rPr>
                            <a:t>Connaissances</a:t>
                          </a:r>
                          <a:r>
                            <a:rPr lang="en-GB" sz="1600" dirty="0">
                              <a:latin typeface="Arial" pitchFamily="34" charset="0"/>
                              <a:cs typeface="Arial" pitchFamily="34" charset="0"/>
                            </a:rPr>
                            <a:t> </a:t>
                          </a:r>
                        </a:p>
                        <a:p>
                          <a:pPr algn="ctr" eaLnBrk="0" fontAlgn="auto" hangingPunct="0">
                            <a:spcBef>
                              <a:spcPts val="0"/>
                            </a:spcBef>
                            <a:spcAft>
                              <a:spcPts val="0"/>
                            </a:spcAft>
                            <a:defRPr/>
                          </a:pPr>
                          <a:r>
                            <a:rPr lang="en-GB" sz="1600" dirty="0" err="1">
                              <a:latin typeface="Arial" pitchFamily="34" charset="0"/>
                              <a:cs typeface="Arial" pitchFamily="34" charset="0"/>
                            </a:rPr>
                            <a:t>nécessaires</a:t>
                          </a:r>
                          <a:r>
                            <a:rPr lang="en-GB" sz="1600" dirty="0">
                              <a:latin typeface="Arial" pitchFamily="34" charset="0"/>
                              <a:cs typeface="Arial" pitchFamily="34" charset="0"/>
                            </a:rPr>
                            <a:t> </a:t>
                          </a:r>
                        </a:p>
                      </a:txBody>
                      <a:useSpRect/>
                    </a:txSp>
                  </a:sp>
                  <a:sp>
                    <a:nvSpPr>
                      <a:cNvPr id="6" name="AutoShape 4"/>
                      <a:cNvSpPr>
                        <a:spLocks noChangeArrowheads="1"/>
                      </a:cNvSpPr>
                    </a:nvSpPr>
                    <a:spPr bwMode="auto">
                      <a:xfrm>
                        <a:off x="3362325" y="1381125"/>
                        <a:ext cx="1295400" cy="1295400"/>
                      </a:xfrm>
                      <a:prstGeom prst="chevron">
                        <a:avLst>
                          <a:gd name="adj" fmla="val 25000"/>
                        </a:avLst>
                      </a:prstGeom>
                      <a:solidFill>
                        <a:schemeClr val="accent1">
                          <a:lumMod val="20000"/>
                          <a:lumOff val="80000"/>
                        </a:schemeClr>
                      </a:solidFill>
                      <a:ln w="12700">
                        <a:solidFill>
                          <a:schemeClr val="accent2"/>
                        </a:solidFill>
                        <a:miter lim="800000"/>
                        <a:headEnd/>
                        <a:tailEnd/>
                      </a:ln>
                    </a:spPr>
                    <a:txSp>
                      <a:txBody>
                        <a:bodyPr vert="eaVert"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fontAlgn="auto" hangingPunct="0">
                            <a:spcBef>
                              <a:spcPts val="0"/>
                            </a:spcBef>
                            <a:spcAft>
                              <a:spcPts val="0"/>
                            </a:spcAft>
                            <a:defRPr/>
                          </a:pPr>
                          <a:r>
                            <a:rPr lang="en-GB" sz="1600" dirty="0" err="1">
                              <a:latin typeface="Arial" pitchFamily="34" charset="0"/>
                              <a:cs typeface="Arial" pitchFamily="34" charset="0"/>
                            </a:rPr>
                            <a:t>Disponibles</a:t>
                          </a:r>
                          <a:endParaRPr lang="en-GB" sz="1600" dirty="0">
                            <a:latin typeface="Arial" pitchFamily="34" charset="0"/>
                            <a:cs typeface="Arial" pitchFamily="34" charset="0"/>
                          </a:endParaRPr>
                        </a:p>
                      </a:txBody>
                      <a:useSpRect/>
                    </a:txSp>
                  </a:sp>
                  <a:sp>
                    <a:nvSpPr>
                      <a:cNvPr id="7" name="AutoShape 5"/>
                      <a:cNvSpPr>
                        <a:spLocks noChangeArrowheads="1"/>
                      </a:cNvSpPr>
                    </a:nvSpPr>
                    <a:spPr bwMode="auto">
                      <a:xfrm>
                        <a:off x="4352925" y="1381125"/>
                        <a:ext cx="1295400" cy="1295400"/>
                      </a:xfrm>
                      <a:prstGeom prst="chevron">
                        <a:avLst>
                          <a:gd name="adj" fmla="val 25000"/>
                        </a:avLst>
                      </a:prstGeom>
                      <a:solidFill>
                        <a:schemeClr val="accent1">
                          <a:lumMod val="20000"/>
                          <a:lumOff val="80000"/>
                        </a:schemeClr>
                      </a:solidFill>
                      <a:ln w="12700">
                        <a:solidFill>
                          <a:schemeClr val="accent2"/>
                        </a:solidFill>
                        <a:miter lim="800000"/>
                        <a:headEnd/>
                        <a:tailEnd/>
                      </a:ln>
                    </a:spPr>
                    <a:txSp>
                      <a:txBody>
                        <a:bodyPr vert="eaVert"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fontAlgn="auto" hangingPunct="0">
                            <a:spcBef>
                              <a:spcPts val="0"/>
                            </a:spcBef>
                            <a:spcAft>
                              <a:spcPts val="0"/>
                            </a:spcAft>
                            <a:defRPr/>
                          </a:pPr>
                          <a:r>
                            <a:rPr lang="en-GB" sz="1600" dirty="0" smtClean="0">
                              <a:latin typeface="Arial" pitchFamily="34" charset="0"/>
                              <a:cs typeface="Arial" pitchFamily="34" charset="0"/>
                            </a:rPr>
                            <a:t>À</a:t>
                          </a:r>
                        </a:p>
                        <a:p>
                          <a:pPr algn="ctr" eaLnBrk="0" fontAlgn="auto" hangingPunct="0">
                            <a:spcBef>
                              <a:spcPts val="0"/>
                            </a:spcBef>
                            <a:spcAft>
                              <a:spcPts val="0"/>
                            </a:spcAft>
                            <a:defRPr/>
                          </a:pPr>
                          <a:r>
                            <a:rPr lang="en-GB" sz="1600" dirty="0" err="1" smtClean="0">
                              <a:latin typeface="Arial" pitchFamily="34" charset="0"/>
                              <a:cs typeface="Arial" pitchFamily="34" charset="0"/>
                            </a:rPr>
                            <a:t>développer</a:t>
                          </a:r>
                          <a:r>
                            <a:rPr lang="en-GB" sz="1600" dirty="0">
                              <a:latin typeface="Arial" pitchFamily="34" charset="0"/>
                              <a:cs typeface="Arial" pitchFamily="34" charset="0"/>
                            </a:rPr>
                            <a:t>	</a:t>
                          </a:r>
                        </a:p>
                      </a:txBody>
                      <a:useSpRect/>
                    </a:txSp>
                  </a:sp>
                  <a:sp>
                    <a:nvSpPr>
                      <a:cNvPr id="8" name="AutoShape 6"/>
                      <a:cNvSpPr>
                        <a:spLocks noChangeArrowheads="1"/>
                      </a:cNvSpPr>
                    </a:nvSpPr>
                    <a:spPr bwMode="auto">
                      <a:xfrm>
                        <a:off x="5343525" y="1381125"/>
                        <a:ext cx="1295400" cy="1295400"/>
                      </a:xfrm>
                      <a:prstGeom prst="chevron">
                        <a:avLst>
                          <a:gd name="adj" fmla="val 25000"/>
                        </a:avLst>
                      </a:prstGeom>
                      <a:solidFill>
                        <a:schemeClr val="accent1">
                          <a:lumMod val="20000"/>
                          <a:lumOff val="80000"/>
                        </a:schemeClr>
                      </a:solidFill>
                      <a:ln w="12700">
                        <a:solidFill>
                          <a:schemeClr val="accent2"/>
                        </a:solidFill>
                        <a:miter lim="800000"/>
                        <a:headEnd/>
                        <a:tailEnd/>
                      </a:ln>
                    </a:spPr>
                    <a:txSp>
                      <a:txBody>
                        <a:bodyPr vert="eaVert"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fontAlgn="auto" hangingPunct="0">
                            <a:spcBef>
                              <a:spcPts val="0"/>
                            </a:spcBef>
                            <a:spcAft>
                              <a:spcPts val="0"/>
                            </a:spcAft>
                            <a:defRPr/>
                          </a:pPr>
                          <a:r>
                            <a:rPr lang="en-GB" sz="1600" dirty="0" smtClean="0">
                              <a:latin typeface="Arial" pitchFamily="34" charset="0"/>
                              <a:cs typeface="Arial" pitchFamily="34" charset="0"/>
                            </a:rPr>
                            <a:t>À</a:t>
                          </a:r>
                        </a:p>
                        <a:p>
                          <a:pPr algn="ctr" eaLnBrk="0" fontAlgn="auto" hangingPunct="0">
                            <a:spcBef>
                              <a:spcPts val="0"/>
                            </a:spcBef>
                            <a:spcAft>
                              <a:spcPts val="0"/>
                            </a:spcAft>
                            <a:defRPr/>
                          </a:pPr>
                          <a:r>
                            <a:rPr lang="en-GB" sz="1600" dirty="0" err="1" smtClean="0">
                              <a:latin typeface="Arial" pitchFamily="34" charset="0"/>
                              <a:cs typeface="Arial" pitchFamily="34" charset="0"/>
                            </a:rPr>
                            <a:t>partager</a:t>
                          </a:r>
                          <a:endParaRPr lang="en-GB" sz="1600" dirty="0">
                            <a:latin typeface="Arial" pitchFamily="34" charset="0"/>
                            <a:cs typeface="Arial" pitchFamily="34" charset="0"/>
                          </a:endParaRPr>
                        </a:p>
                      </a:txBody>
                      <a:useSpRect/>
                    </a:txSp>
                  </a:sp>
                  <a:sp>
                    <a:nvSpPr>
                      <a:cNvPr id="9" name="AutoShape 7"/>
                      <a:cNvSpPr>
                        <a:spLocks noChangeArrowheads="1"/>
                      </a:cNvSpPr>
                    </a:nvSpPr>
                    <a:spPr bwMode="auto">
                      <a:xfrm>
                        <a:off x="6334125" y="1381125"/>
                        <a:ext cx="1295400" cy="1295400"/>
                      </a:xfrm>
                      <a:prstGeom prst="chevron">
                        <a:avLst>
                          <a:gd name="adj" fmla="val 25000"/>
                        </a:avLst>
                      </a:prstGeom>
                      <a:solidFill>
                        <a:schemeClr val="accent1">
                          <a:lumMod val="20000"/>
                          <a:lumOff val="80000"/>
                        </a:schemeClr>
                      </a:solidFill>
                      <a:ln w="12700">
                        <a:solidFill>
                          <a:schemeClr val="accent2"/>
                        </a:solidFill>
                        <a:miter lim="800000"/>
                        <a:headEnd/>
                        <a:tailEnd/>
                      </a:ln>
                    </a:spPr>
                    <a:txSp>
                      <a:txBody>
                        <a:bodyPr vert="eaVert"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fontAlgn="auto" hangingPunct="0">
                            <a:spcBef>
                              <a:spcPts val="0"/>
                            </a:spcBef>
                            <a:spcAft>
                              <a:spcPts val="0"/>
                            </a:spcAft>
                            <a:defRPr/>
                          </a:pPr>
                          <a:r>
                            <a:rPr lang="en-GB" sz="1600" dirty="0" smtClean="0">
                              <a:latin typeface="Arial" pitchFamily="34" charset="0"/>
                              <a:cs typeface="Arial" pitchFamily="34" charset="0"/>
                            </a:rPr>
                            <a:t>À</a:t>
                          </a:r>
                        </a:p>
                        <a:p>
                          <a:pPr algn="ctr" eaLnBrk="0" fontAlgn="auto" hangingPunct="0">
                            <a:spcBef>
                              <a:spcPts val="0"/>
                            </a:spcBef>
                            <a:spcAft>
                              <a:spcPts val="0"/>
                            </a:spcAft>
                            <a:defRPr/>
                          </a:pPr>
                          <a:r>
                            <a:rPr lang="en-GB" sz="1600" dirty="0" err="1" smtClean="0">
                              <a:latin typeface="Arial" pitchFamily="34" charset="0"/>
                              <a:cs typeface="Arial" pitchFamily="34" charset="0"/>
                            </a:rPr>
                            <a:t>appliquer</a:t>
                          </a:r>
                          <a:r>
                            <a:rPr lang="en-GB" sz="1600" dirty="0" smtClean="0">
                              <a:latin typeface="Arial" pitchFamily="34" charset="0"/>
                              <a:cs typeface="Arial" pitchFamily="34" charset="0"/>
                            </a:rPr>
                            <a:t> </a:t>
                          </a:r>
                          <a:endParaRPr lang="en-GB" sz="1600" dirty="0">
                            <a:latin typeface="Arial" pitchFamily="34" charset="0"/>
                            <a:cs typeface="Arial" pitchFamily="34" charset="0"/>
                          </a:endParaRPr>
                        </a:p>
                      </a:txBody>
                      <a:useSpRect/>
                    </a:txSp>
                  </a:sp>
                  <a:sp>
                    <a:nvSpPr>
                      <a:cNvPr id="10" name="AutoShape 8"/>
                      <a:cNvSpPr>
                        <a:spLocks noChangeArrowheads="1"/>
                      </a:cNvSpPr>
                    </a:nvSpPr>
                    <a:spPr bwMode="auto">
                      <a:xfrm>
                        <a:off x="7324725" y="1381125"/>
                        <a:ext cx="1295400" cy="1295400"/>
                      </a:xfrm>
                      <a:prstGeom prst="chevron">
                        <a:avLst>
                          <a:gd name="adj" fmla="val 25000"/>
                        </a:avLst>
                      </a:prstGeom>
                      <a:solidFill>
                        <a:schemeClr val="accent1">
                          <a:lumMod val="20000"/>
                          <a:lumOff val="80000"/>
                        </a:schemeClr>
                      </a:solidFill>
                      <a:ln w="12700">
                        <a:solidFill>
                          <a:schemeClr val="accent2"/>
                        </a:solidFill>
                        <a:miter lim="800000"/>
                        <a:headEnd/>
                        <a:tailEnd/>
                      </a:ln>
                    </a:spPr>
                    <a:txSp>
                      <a:txBody>
                        <a:bodyPr vert="eaVert"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fontAlgn="auto" hangingPunct="0">
                            <a:spcBef>
                              <a:spcPts val="0"/>
                            </a:spcBef>
                            <a:spcAft>
                              <a:spcPts val="0"/>
                            </a:spcAft>
                            <a:defRPr/>
                          </a:pPr>
                          <a:r>
                            <a:rPr lang="en-GB" sz="1600" dirty="0">
                              <a:latin typeface="Arial" pitchFamily="34" charset="0"/>
                              <a:cs typeface="Arial" pitchFamily="34" charset="0"/>
                            </a:rPr>
                            <a:t>Evaluation</a:t>
                          </a:r>
                        </a:p>
                      </a:txBody>
                      <a:useSpRect/>
                    </a:txSp>
                  </a:sp>
                  <a:sp>
                    <a:nvSpPr>
                      <a:cNvPr id="17" name="Rectangle 15"/>
                      <a:cNvSpPr>
                        <a:spLocks noChangeArrowheads="1"/>
                      </a:cNvSpPr>
                    </a:nvSpPr>
                    <a:spPr bwMode="auto">
                      <a:xfrm>
                        <a:off x="619125" y="2295525"/>
                        <a:ext cx="1447800" cy="381000"/>
                      </a:xfrm>
                      <a:prstGeom prst="rect">
                        <a:avLst/>
                      </a:prstGeom>
                      <a:solidFill>
                        <a:schemeClr val="tx2">
                          <a:lumMod val="60000"/>
                          <a:lumOff val="40000"/>
                        </a:schemeClr>
                      </a:solidFill>
                      <a:ln w="12700">
                        <a:solidFill>
                          <a:schemeClr val="accent2"/>
                        </a:solidFill>
                        <a:miter lim="800000"/>
                        <a:headEnd/>
                        <a:tailEnd/>
                      </a:ln>
                    </a:spPr>
                    <a:txSp>
                      <a:txBody>
                        <a:bodyPr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fontAlgn="auto" hangingPunct="0">
                            <a:spcBef>
                              <a:spcPts val="0"/>
                            </a:spcBef>
                            <a:spcAft>
                              <a:spcPts val="0"/>
                            </a:spcAft>
                            <a:defRPr/>
                          </a:pPr>
                          <a:r>
                            <a:rPr lang="fr-MC" sz="1600" dirty="0" smtClean="0">
                              <a:latin typeface="Arial" pitchFamily="34" charset="0"/>
                              <a:cs typeface="Arial" pitchFamily="34" charset="0"/>
                            </a:rPr>
                            <a:t>Objectifs</a:t>
                          </a:r>
                          <a:endParaRPr lang="fr-MC" sz="1600" dirty="0">
                            <a:latin typeface="Arial" pitchFamily="34" charset="0"/>
                            <a:cs typeface="Arial" pitchFamily="34" charset="0"/>
                          </a:endParaRPr>
                        </a:p>
                      </a:txBody>
                      <a:useSpRect/>
                    </a:txSp>
                  </a:sp>
                  <a:sp>
                    <a:nvSpPr>
                      <a:cNvPr id="13328" name="Rectangle 16"/>
                      <a:cNvSpPr>
                        <a:spLocks noChangeArrowheads="1"/>
                      </a:cNvSpPr>
                    </a:nvSpPr>
                    <a:spPr bwMode="auto">
                      <a:xfrm>
                        <a:off x="619125" y="1838325"/>
                        <a:ext cx="1447800" cy="381000"/>
                      </a:xfrm>
                      <a:prstGeom prst="rect">
                        <a:avLst/>
                      </a:prstGeom>
                      <a:solidFill>
                        <a:schemeClr val="accent1"/>
                      </a:solidFill>
                      <a:ln w="12700">
                        <a:solidFill>
                          <a:schemeClr val="accent2"/>
                        </a:solidFill>
                        <a:miter lim="800000"/>
                        <a:headEnd/>
                        <a:tailEnd/>
                      </a:ln>
                    </a:spPr>
                    <a:txSp>
                      <a:txBody>
                        <a:bodyPr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r>
                            <a:rPr lang="en-GB" sz="1600">
                              <a:latin typeface="Arial" pitchFamily="34" charset="0"/>
                              <a:cs typeface="Arial" pitchFamily="34" charset="0"/>
                            </a:rPr>
                            <a:t>Vision</a:t>
                          </a:r>
                        </a:p>
                      </a:txBody>
                      <a:useSpRect/>
                    </a:txSp>
                  </a:sp>
                  <a:sp>
                    <a:nvSpPr>
                      <a:cNvPr id="13329" name="Rectangle 17"/>
                      <a:cNvSpPr>
                        <a:spLocks noChangeArrowheads="1"/>
                      </a:cNvSpPr>
                    </a:nvSpPr>
                    <a:spPr bwMode="auto">
                      <a:xfrm>
                        <a:off x="619125" y="1381125"/>
                        <a:ext cx="1447800" cy="381000"/>
                      </a:xfrm>
                      <a:prstGeom prst="rect">
                        <a:avLst/>
                      </a:prstGeom>
                      <a:solidFill>
                        <a:schemeClr val="accent1"/>
                      </a:solidFill>
                      <a:ln w="12700">
                        <a:solidFill>
                          <a:schemeClr val="accent2"/>
                        </a:solidFill>
                        <a:miter lim="800000"/>
                        <a:headEnd/>
                        <a:tailEnd/>
                      </a:ln>
                    </a:spPr>
                    <a:txSp>
                      <a:txBody>
                        <a:bodyPr wrap="none" anchor="ctr"/>
                        <a:lstStyle>
                          <a:defPPr>
                            <a:defRPr lang="nl-NL"/>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r>
                            <a:rPr lang="en-GB" sz="1600">
                              <a:latin typeface="Arial" pitchFamily="34" charset="0"/>
                              <a:cs typeface="Arial" pitchFamily="34" charset="0"/>
                            </a:rPr>
                            <a:t>Mission</a:t>
                          </a:r>
                        </a:p>
                      </a:txBody>
                      <a:useSpRect/>
                    </a:txSp>
                  </a:sp>
                </lc:lockedCanvas>
              </a:graphicData>
            </a:graphic>
          </wp:inline>
        </w:drawing>
      </w:r>
    </w:p>
    <w:p w:rsidR="00C86559" w:rsidRDefault="00C86559" w:rsidP="00C86559">
      <w:pPr>
        <w:pBdr>
          <w:top w:val="single" w:sz="4" w:space="1" w:color="auto"/>
          <w:left w:val="single" w:sz="4" w:space="4" w:color="auto"/>
          <w:bottom w:val="single" w:sz="4" w:space="1" w:color="auto"/>
          <w:right w:val="single" w:sz="4" w:space="4" w:color="auto"/>
        </w:pBdr>
        <w:rPr>
          <w:lang w:val="en-GB"/>
        </w:rPr>
      </w:pPr>
    </w:p>
    <w:p w:rsidR="00C86559" w:rsidRDefault="00C86559" w:rsidP="00C86559">
      <w:pPr>
        <w:rPr>
          <w:lang w:val="en-GB"/>
        </w:rPr>
      </w:pPr>
    </w:p>
    <w:p w:rsidR="00634249" w:rsidRDefault="00D9072F" w:rsidP="009E6EE7">
      <w:pPr>
        <w:rPr>
          <w:lang w:val="en-GB"/>
        </w:rPr>
      </w:pPr>
      <w:r>
        <w:rPr>
          <w:lang w:val="en-GB"/>
        </w:rPr>
        <w:lastRenderedPageBreak/>
        <w:t xml:space="preserve">This exercise </w:t>
      </w:r>
      <w:r w:rsidR="00634249" w:rsidRPr="00634249">
        <w:rPr>
          <w:lang w:val="en-GB"/>
        </w:rPr>
        <w:t xml:space="preserve">resulted in fierce discussions and confusion. </w:t>
      </w:r>
      <w:r w:rsidR="00634249">
        <w:rPr>
          <w:lang w:val="en-GB"/>
        </w:rPr>
        <w:t xml:space="preserve">After regrouping </w:t>
      </w:r>
      <w:r w:rsidR="009E6EE7">
        <w:rPr>
          <w:lang w:val="en-GB"/>
        </w:rPr>
        <w:t>a</w:t>
      </w:r>
      <w:r w:rsidR="00634249">
        <w:rPr>
          <w:lang w:val="en-GB"/>
        </w:rPr>
        <w:t xml:space="preserve"> side step to the ‘People, process and Technology’</w:t>
      </w:r>
      <w:r>
        <w:rPr>
          <w:lang w:val="en-GB"/>
        </w:rPr>
        <w:t xml:space="preserve">- model as show below – </w:t>
      </w:r>
      <w:r w:rsidR="009E6EE7">
        <w:rPr>
          <w:lang w:val="en-GB"/>
        </w:rPr>
        <w:t xml:space="preserve">was made </w:t>
      </w:r>
      <w:r>
        <w:rPr>
          <w:lang w:val="en-GB"/>
        </w:rPr>
        <w:t>to better understand and make clear a KM plan is about an intervention on the processes within an organisation.</w:t>
      </w:r>
    </w:p>
    <w:p w:rsidR="00D9072F" w:rsidRDefault="00D9072F" w:rsidP="00D9072F">
      <w:pPr>
        <w:pBdr>
          <w:top w:val="single" w:sz="4" w:space="1" w:color="auto"/>
          <w:left w:val="single" w:sz="4" w:space="4" w:color="auto"/>
          <w:bottom w:val="single" w:sz="4" w:space="1" w:color="auto"/>
          <w:right w:val="single" w:sz="4" w:space="4" w:color="auto"/>
        </w:pBdr>
        <w:rPr>
          <w:lang w:val="en-GB"/>
        </w:rPr>
      </w:pPr>
      <w:r>
        <w:rPr>
          <w:lang w:val="en-GB"/>
        </w:rPr>
        <w:t>The PPT-model applied for IEA - ONEP</w:t>
      </w:r>
    </w:p>
    <w:p w:rsidR="00634249" w:rsidRDefault="00C86559" w:rsidP="00D9072F">
      <w:pPr>
        <w:pBdr>
          <w:top w:val="single" w:sz="4" w:space="1" w:color="auto"/>
          <w:left w:val="single" w:sz="4" w:space="4" w:color="auto"/>
          <w:bottom w:val="single" w:sz="4" w:space="1" w:color="auto"/>
          <w:right w:val="single" w:sz="4" w:space="4" w:color="auto"/>
        </w:pBdr>
        <w:rPr>
          <w:lang w:val="en-GB"/>
        </w:rPr>
      </w:pPr>
      <w:r w:rsidRPr="00634249">
        <w:object w:dxaOrig="7210"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35pt;height:283.7pt" o:ole="">
            <v:imagedata r:id="rId21" o:title=""/>
          </v:shape>
          <o:OLEObject Type="Embed" ProgID="PowerPoint.Slide.12" ShapeID="_x0000_i1025" DrawAspect="Content" ObjectID="_1358833287" r:id="rId22"/>
        </w:object>
      </w:r>
    </w:p>
    <w:p w:rsidR="00934FAA" w:rsidRPr="00634249" w:rsidRDefault="00D9072F" w:rsidP="00934FAA">
      <w:pPr>
        <w:rPr>
          <w:lang w:val="en-GB"/>
        </w:rPr>
      </w:pPr>
      <w:r>
        <w:rPr>
          <w:lang w:val="en-GB"/>
        </w:rPr>
        <w:t xml:space="preserve">En </w:t>
      </w:r>
      <w:r w:rsidRPr="00D9072F">
        <w:rPr>
          <w:lang w:val="en-GB"/>
        </w:rPr>
        <w:t>passent</w:t>
      </w:r>
      <w:r>
        <w:rPr>
          <w:lang w:val="en-GB"/>
        </w:rPr>
        <w:t xml:space="preserve">, participants discussed objectives in terms of SMART (Specific, Measurable. Applicable, Realistic and Time bound) to ‘reality-test’ them. Also the objectives and plans were </w:t>
      </w:r>
      <w:r w:rsidR="00934FAA">
        <w:rPr>
          <w:lang w:val="en-GB"/>
        </w:rPr>
        <w:t>screened against the lessons learned by KM pioneers: 1) do we have e</w:t>
      </w:r>
      <w:r w:rsidR="00934FAA" w:rsidRPr="00934FAA">
        <w:rPr>
          <w:lang w:val="en-GB"/>
        </w:rPr>
        <w:t>nthusiastic champions</w:t>
      </w:r>
      <w:r w:rsidR="00934FAA">
        <w:rPr>
          <w:lang w:val="en-GB"/>
        </w:rPr>
        <w:t>?, 2) does the intervention b</w:t>
      </w:r>
      <w:r w:rsidR="00934FAA" w:rsidRPr="00934FAA">
        <w:rPr>
          <w:lang w:val="en-GB"/>
        </w:rPr>
        <w:t>uild on existing core competence</w:t>
      </w:r>
      <w:r w:rsidR="00934FAA">
        <w:rPr>
          <w:lang w:val="en-GB"/>
        </w:rPr>
        <w:t>?, 3) does the plan a</w:t>
      </w:r>
      <w:r w:rsidR="00934FAA" w:rsidRPr="00934FAA">
        <w:rPr>
          <w:lang w:val="en-GB"/>
        </w:rPr>
        <w:t>ddress an urgent strategic imperative</w:t>
      </w:r>
      <w:r w:rsidR="00934FAA">
        <w:rPr>
          <w:lang w:val="en-GB"/>
        </w:rPr>
        <w:t xml:space="preserve"> and 4) is there buy-inn from top-management?,  and last, but not least, 5) are there e</w:t>
      </w:r>
      <w:r w:rsidR="00934FAA" w:rsidRPr="00934FAA">
        <w:rPr>
          <w:lang w:val="en-GB"/>
        </w:rPr>
        <w:t>arly quick</w:t>
      </w:r>
      <w:r w:rsidR="00934FAA">
        <w:rPr>
          <w:lang w:val="en-GB"/>
        </w:rPr>
        <w:t xml:space="preserve"> wins neutralise the nay-Sayers?</w:t>
      </w:r>
    </w:p>
    <w:p w:rsidR="00C86559" w:rsidRDefault="00934FAA" w:rsidP="00D9072F">
      <w:pPr>
        <w:rPr>
          <w:lang w:val="en-GB"/>
        </w:rPr>
      </w:pPr>
      <w:r>
        <w:rPr>
          <w:lang w:val="en-GB"/>
        </w:rPr>
        <w:t>The group agreed the two plans they worked on: A) implementation of Alfresco-Share as underlying technology and central repository for IEA’s development as resource centre and B) to start with systematically capture lessons learned from activities by IEA. In the above picture they are pointed at by ‘Plan CG 1’ and ‘Plan CG 2’.</w:t>
      </w:r>
    </w:p>
    <w:p w:rsidR="00C86559" w:rsidRDefault="00C86559">
      <w:pPr>
        <w:rPr>
          <w:lang w:val="en-GB"/>
        </w:rPr>
      </w:pPr>
      <w:r>
        <w:rPr>
          <w:lang w:val="en-GB"/>
        </w:rPr>
        <w:br w:type="page"/>
      </w:r>
    </w:p>
    <w:p w:rsidR="00C86559" w:rsidRPr="00C86559" w:rsidRDefault="004003EA" w:rsidP="00C86559">
      <w:pPr>
        <w:rPr>
          <w:b/>
          <w:bCs/>
          <w:lang w:val="en-GB"/>
        </w:rPr>
      </w:pPr>
      <w:r>
        <w:rPr>
          <w:b/>
          <w:bCs/>
          <w:lang w:val="en-GB"/>
        </w:rPr>
        <w:lastRenderedPageBreak/>
        <w:t xml:space="preserve">6 </w:t>
      </w:r>
      <w:r w:rsidR="00C86559" w:rsidRPr="00C86559">
        <w:rPr>
          <w:b/>
          <w:bCs/>
          <w:lang w:val="en-GB"/>
        </w:rPr>
        <w:t>The Weggeman model</w:t>
      </w:r>
    </w:p>
    <w:p w:rsidR="00C86559" w:rsidRDefault="00C34763" w:rsidP="00B14BBA">
      <w:pPr>
        <w:rPr>
          <w:lang w:val="en-GB"/>
        </w:rPr>
      </w:pPr>
      <w:r>
        <w:rPr>
          <w:lang w:val="en-GB"/>
        </w:rPr>
        <w:t>The underlying KM model used in the workshop is coined by Weggeman</w:t>
      </w:r>
      <w:r w:rsidR="00B14BBA">
        <w:rPr>
          <w:lang w:val="en-GB"/>
        </w:rPr>
        <w:t xml:space="preserve">. The model is depicted below on the left. The top bar has been discussed above. To the left the organisational design variables – based on the 7S McKinsey. During the workshop we discussed then briefly. model (see for a detailed description of the 7S model </w:t>
      </w:r>
      <w:hyperlink r:id="rId23" w:history="1">
        <w:r w:rsidR="00B14BBA" w:rsidRPr="00FC77D9">
          <w:rPr>
            <w:rStyle w:val="Hyperlink"/>
            <w:lang w:val="en-GB"/>
          </w:rPr>
          <w:t>http://www.themanager.org/models/7S%20Model.htm</w:t>
        </w:r>
      </w:hyperlink>
      <w:r w:rsidR="00B14BBA">
        <w:rPr>
          <w:lang w:val="en-GB"/>
        </w:rPr>
        <w:t>).</w:t>
      </w:r>
    </w:p>
    <w:p w:rsidR="00B14BBA" w:rsidRDefault="00B14BBA" w:rsidP="00B14BBA">
      <w:pPr>
        <w:rPr>
          <w:lang w:val="en-GB"/>
        </w:rPr>
      </w:pPr>
      <w:r>
        <w:rPr>
          <w:lang w:val="en-GB"/>
        </w:rPr>
        <w:t>The right shows the result of a KM scan done at IRC. The lower values indicate where staff perceives KM as weak and thus that are the sports to target KM interventions on.</w:t>
      </w:r>
    </w:p>
    <w:p w:rsidR="00C86559" w:rsidRDefault="00C34763" w:rsidP="00C34763">
      <w:pPr>
        <w:pBdr>
          <w:top w:val="single" w:sz="4" w:space="1" w:color="auto"/>
          <w:left w:val="single" w:sz="4" w:space="4" w:color="auto"/>
          <w:bottom w:val="single" w:sz="4" w:space="1" w:color="auto"/>
          <w:right w:val="single" w:sz="4" w:space="4" w:color="auto"/>
        </w:pBdr>
        <w:rPr>
          <w:lang w:val="en-GB"/>
        </w:rPr>
      </w:pPr>
      <w:r>
        <w:rPr>
          <w:lang w:val="en-GB"/>
        </w:rPr>
        <w:t>The Weggeman model and KM scan: the KM scan will point out where to plan KM interventions</w:t>
      </w:r>
    </w:p>
    <w:p w:rsidR="00C86559" w:rsidRDefault="00C86559" w:rsidP="00C34763">
      <w:pPr>
        <w:pBdr>
          <w:top w:val="single" w:sz="4" w:space="1" w:color="auto"/>
          <w:left w:val="single" w:sz="4" w:space="4" w:color="auto"/>
          <w:bottom w:val="single" w:sz="4" w:space="1" w:color="auto"/>
          <w:right w:val="single" w:sz="4" w:space="4" w:color="auto"/>
        </w:pBdr>
        <w:rPr>
          <w:lang w:val="en-GB"/>
        </w:rPr>
      </w:pPr>
      <w:r>
        <w:rPr>
          <w:noProof/>
          <w:lang w:val="en-GB" w:eastAsia="en-GB"/>
        </w:rPr>
        <w:drawing>
          <wp:inline distT="0" distB="0" distL="0" distR="0">
            <wp:extent cx="2700000" cy="2014684"/>
            <wp:effectExtent l="19050" t="0" r="5100" b="0"/>
            <wp:docPr id="22" name="Picture 6" descr="Weggeman-model-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geman-model-KM.jpg"/>
                    <pic:cNvPicPr/>
                  </pic:nvPicPr>
                  <pic:blipFill>
                    <a:blip r:embed="rId24" cstate="email"/>
                    <a:stretch>
                      <a:fillRect/>
                    </a:stretch>
                  </pic:blipFill>
                  <pic:spPr>
                    <a:xfrm>
                      <a:off x="0" y="0"/>
                      <a:ext cx="2700000" cy="2014684"/>
                    </a:xfrm>
                    <a:prstGeom prst="rect">
                      <a:avLst/>
                    </a:prstGeom>
                  </pic:spPr>
                </pic:pic>
              </a:graphicData>
            </a:graphic>
          </wp:inline>
        </w:drawing>
      </w:r>
      <w:r>
        <w:rPr>
          <w:lang w:val="en-GB"/>
        </w:rPr>
        <w:t xml:space="preserve"> </w:t>
      </w:r>
      <w:r>
        <w:rPr>
          <w:noProof/>
          <w:lang w:val="en-GB" w:eastAsia="en-GB"/>
        </w:rPr>
        <w:drawing>
          <wp:inline distT="0" distB="0" distL="0" distR="0">
            <wp:extent cx="2700000" cy="2020955"/>
            <wp:effectExtent l="19050" t="0" r="5100" b="0"/>
            <wp:docPr id="23" name="Picture 45" descr="D:\Maroc\Pictures\20100416-IEA\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Maroc\Pictures\20100416-IEA\Slide10.JPG"/>
                    <pic:cNvPicPr>
                      <a:picLocks noChangeAspect="1" noChangeArrowheads="1"/>
                    </pic:cNvPicPr>
                  </pic:nvPicPr>
                  <pic:blipFill>
                    <a:blip r:embed="rId25" cstate="email"/>
                    <a:srcRect/>
                    <a:stretch>
                      <a:fillRect/>
                    </a:stretch>
                  </pic:blipFill>
                  <pic:spPr bwMode="auto">
                    <a:xfrm>
                      <a:off x="0" y="0"/>
                      <a:ext cx="2700000" cy="2020955"/>
                    </a:xfrm>
                    <a:prstGeom prst="rect">
                      <a:avLst/>
                    </a:prstGeom>
                    <a:noFill/>
                    <a:ln w="9525">
                      <a:noFill/>
                      <a:miter lim="800000"/>
                      <a:headEnd/>
                      <a:tailEnd/>
                    </a:ln>
                  </pic:spPr>
                </pic:pic>
              </a:graphicData>
            </a:graphic>
          </wp:inline>
        </w:drawing>
      </w:r>
    </w:p>
    <w:p w:rsidR="00C86559" w:rsidRDefault="00B14BBA" w:rsidP="00C86559">
      <w:pPr>
        <w:rPr>
          <w:lang w:val="en-GB"/>
        </w:rPr>
      </w:pPr>
      <w:r>
        <w:rPr>
          <w:lang w:val="en-GB"/>
        </w:rPr>
        <w:t>The KM scan as administered at IEA only had a few participants. To get a complete and thorough and to be trusted picture as much as possible staff has to take part in the KM scan. The emerging picture from the KM scan result below points at structures, systems and staff as ‘elements’ in IEA – ONEP to target KM interventions on. The application of knowledge is perceived as weakest element in the knowledge value chain. IEA’s KM plan 1 addresses a system and plan 2 a structure.</w:t>
      </w:r>
    </w:p>
    <w:p w:rsidR="00C34763" w:rsidRDefault="00C34763" w:rsidP="00C34763">
      <w:pPr>
        <w:pBdr>
          <w:top w:val="single" w:sz="4" w:space="1" w:color="auto"/>
          <w:left w:val="single" w:sz="4" w:space="4" w:color="auto"/>
          <w:bottom w:val="single" w:sz="4" w:space="1" w:color="auto"/>
          <w:right w:val="single" w:sz="4" w:space="4" w:color="auto"/>
        </w:pBdr>
        <w:rPr>
          <w:lang w:val="en-GB"/>
        </w:rPr>
      </w:pPr>
      <w:r>
        <w:rPr>
          <w:lang w:val="en-GB"/>
        </w:rPr>
        <w:t>Results of the KM scan at IEA: 7 participants</w:t>
      </w:r>
    </w:p>
    <w:p w:rsidR="00C86559" w:rsidRDefault="00C34763" w:rsidP="00C34763">
      <w:pPr>
        <w:pBdr>
          <w:top w:val="single" w:sz="4" w:space="1" w:color="auto"/>
          <w:left w:val="single" w:sz="4" w:space="4" w:color="auto"/>
          <w:bottom w:val="single" w:sz="4" w:space="1" w:color="auto"/>
          <w:right w:val="single" w:sz="4" w:space="4" w:color="auto"/>
        </w:pBdr>
        <w:rPr>
          <w:lang w:val="en-GB"/>
        </w:rPr>
      </w:pPr>
      <w:r w:rsidRPr="00C34763">
        <w:rPr>
          <w:noProof/>
          <w:lang w:val="en-GB" w:eastAsia="en-GB"/>
        </w:rPr>
        <w:drawing>
          <wp:inline distT="0" distB="0" distL="0" distR="0">
            <wp:extent cx="5503983" cy="2296633"/>
            <wp:effectExtent l="19050" t="0" r="1467"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email"/>
                    <a:srcRect/>
                    <a:stretch>
                      <a:fillRect/>
                    </a:stretch>
                  </pic:blipFill>
                  <pic:spPr bwMode="auto">
                    <a:xfrm>
                      <a:off x="0" y="0"/>
                      <a:ext cx="5505822" cy="2297400"/>
                    </a:xfrm>
                    <a:prstGeom prst="rect">
                      <a:avLst/>
                    </a:prstGeom>
                    <a:noFill/>
                    <a:ln w="9525">
                      <a:noFill/>
                      <a:miter lim="800000"/>
                      <a:headEnd/>
                      <a:tailEnd/>
                    </a:ln>
                  </pic:spPr>
                </pic:pic>
              </a:graphicData>
            </a:graphic>
          </wp:inline>
        </w:drawing>
      </w:r>
    </w:p>
    <w:p w:rsidR="00C34763" w:rsidRDefault="00C34763" w:rsidP="00C86559">
      <w:pPr>
        <w:rPr>
          <w:lang w:val="en-GB"/>
        </w:rPr>
      </w:pPr>
    </w:p>
    <w:p w:rsidR="00B14BBA" w:rsidRPr="006A65FF" w:rsidRDefault="004003EA" w:rsidP="00B14BBA">
      <w:pPr>
        <w:rPr>
          <w:b/>
          <w:bCs/>
          <w:lang w:val="en-GB"/>
        </w:rPr>
      </w:pPr>
      <w:r w:rsidRPr="006A65FF">
        <w:rPr>
          <w:b/>
          <w:bCs/>
          <w:lang w:val="en-GB"/>
        </w:rPr>
        <w:lastRenderedPageBreak/>
        <w:t xml:space="preserve">7 </w:t>
      </w:r>
      <w:r w:rsidR="00B14BBA" w:rsidRPr="006A65FF">
        <w:rPr>
          <w:b/>
          <w:bCs/>
          <w:lang w:val="en-GB"/>
        </w:rPr>
        <w:t>Conclusions</w:t>
      </w:r>
    </w:p>
    <w:p w:rsidR="00DF40F2" w:rsidRDefault="003315B6" w:rsidP="003315B6">
      <w:pPr>
        <w:rPr>
          <w:lang w:val="en-GB"/>
        </w:rPr>
      </w:pPr>
      <w:r>
        <w:rPr>
          <w:lang w:val="en-GB"/>
        </w:rPr>
        <w:t>It has been a typical KM workshop where participants enjoy the lecturing on Monday and discuss mission and vision. On Tuesday an appreciation grows on the difference between information (tangible) and knowledge (in people’s heads) accompanied</w:t>
      </w:r>
      <w:r w:rsidR="00DF40F2">
        <w:rPr>
          <w:lang w:val="en-GB"/>
        </w:rPr>
        <w:t xml:space="preserve"> with the confusion what to do.</w:t>
      </w:r>
    </w:p>
    <w:p w:rsidR="00B14BBA" w:rsidRDefault="003315B6" w:rsidP="003315B6">
      <w:pPr>
        <w:rPr>
          <w:lang w:val="en-GB"/>
        </w:rPr>
      </w:pPr>
      <w:r>
        <w:rPr>
          <w:lang w:val="en-GB"/>
        </w:rPr>
        <w:t xml:space="preserve">On Wednesday participants do a lot of ‘brain-work’ because they have to plan a KM initiative </w:t>
      </w:r>
      <w:r w:rsidR="00DF40F2">
        <w:rPr>
          <w:lang w:val="en-GB"/>
        </w:rPr>
        <w:t xml:space="preserve">based on an objective, </w:t>
      </w:r>
      <w:r>
        <w:rPr>
          <w:lang w:val="en-GB"/>
        </w:rPr>
        <w:t>which means coming up with processes that must be sustainable! The crux of the Weggeman model is that the knowledge value chain must be stepped through step by step and the further an organisation gets into the chain the better they perform.</w:t>
      </w:r>
    </w:p>
    <w:p w:rsidR="003315B6" w:rsidRDefault="00DF40F2" w:rsidP="00DF40F2">
      <w:pPr>
        <w:rPr>
          <w:lang w:val="en-GB"/>
        </w:rPr>
      </w:pPr>
      <w:r>
        <w:rPr>
          <w:lang w:val="en-GB"/>
        </w:rPr>
        <w:t>On Thursday the group took ownership of the workshop and decided to work on two KM plans. The first is to install a system and train IEA staff in its use. From there other ONEP staff will be involved. The second plan (a combination of KM intervention; see slides in the annex) is to establish in IEA a procedure and tools / methods to capture lessons learned from all IEA activities.</w:t>
      </w:r>
    </w:p>
    <w:p w:rsidR="00DF40F2" w:rsidRDefault="00DF40F2" w:rsidP="00DF40F2">
      <w:pPr>
        <w:rPr>
          <w:lang w:val="en-GB"/>
        </w:rPr>
      </w:pPr>
      <w:r>
        <w:rPr>
          <w:lang w:val="en-GB"/>
        </w:rPr>
        <w:t xml:space="preserve">From the Thursday and Friday group work participants realised KM is 5% inspiration and 95% transpiration. Especially the exercise to plan who has to do what when took time and realisation KM does not come overnight and needs entrepreneurial, open, pro-active teamwork to succeed. </w:t>
      </w:r>
    </w:p>
    <w:p w:rsidR="006A65FF" w:rsidRPr="006A65FF" w:rsidRDefault="006A65FF" w:rsidP="00B14BBA">
      <w:pPr>
        <w:rPr>
          <w:lang w:val="en-GB"/>
        </w:rPr>
      </w:pPr>
    </w:p>
    <w:p w:rsidR="00720CD5" w:rsidRDefault="00720CD5">
      <w:pPr>
        <w:rPr>
          <w:b/>
          <w:bCs/>
          <w:lang w:val="en-GB"/>
        </w:rPr>
      </w:pPr>
      <w:r>
        <w:rPr>
          <w:b/>
          <w:bCs/>
          <w:noProof/>
          <w:lang w:val="en-GB" w:eastAsia="en-GB"/>
        </w:rPr>
        <w:drawing>
          <wp:inline distT="0" distB="0" distL="0" distR="0">
            <wp:extent cx="5760720" cy="4320540"/>
            <wp:effectExtent l="19050" t="0" r="0" b="0"/>
            <wp:docPr id="24" name="Picture 23" descr="DSC0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96.JPG"/>
                    <pic:cNvPicPr/>
                  </pic:nvPicPr>
                  <pic:blipFill>
                    <a:blip r:embed="rId27" cstate="email"/>
                    <a:stretch>
                      <a:fillRect/>
                    </a:stretch>
                  </pic:blipFill>
                  <pic:spPr>
                    <a:xfrm>
                      <a:off x="0" y="0"/>
                      <a:ext cx="5760720" cy="4320540"/>
                    </a:xfrm>
                    <a:prstGeom prst="rect">
                      <a:avLst/>
                    </a:prstGeom>
                  </pic:spPr>
                </pic:pic>
              </a:graphicData>
            </a:graphic>
          </wp:inline>
        </w:drawing>
      </w:r>
      <w:r>
        <w:rPr>
          <w:b/>
          <w:bCs/>
          <w:lang w:val="en-GB"/>
        </w:rPr>
        <w:br w:type="page"/>
      </w:r>
    </w:p>
    <w:p w:rsidR="00B14BBA" w:rsidRPr="006A65FF" w:rsidRDefault="004003EA" w:rsidP="00B14BBA">
      <w:pPr>
        <w:rPr>
          <w:b/>
          <w:bCs/>
          <w:lang w:val="en-GB"/>
        </w:rPr>
      </w:pPr>
      <w:r w:rsidRPr="006A65FF">
        <w:rPr>
          <w:b/>
          <w:bCs/>
          <w:lang w:val="en-GB"/>
        </w:rPr>
        <w:lastRenderedPageBreak/>
        <w:t xml:space="preserve">8 </w:t>
      </w:r>
      <w:r w:rsidR="00B14BBA" w:rsidRPr="006A65FF">
        <w:rPr>
          <w:b/>
          <w:bCs/>
          <w:lang w:val="en-GB"/>
        </w:rPr>
        <w:t>Way forward</w:t>
      </w:r>
    </w:p>
    <w:p w:rsidR="000C3C73" w:rsidRDefault="00DF40F2" w:rsidP="000C3C73">
      <w:pPr>
        <w:rPr>
          <w:lang w:val="en-GB"/>
        </w:rPr>
      </w:pPr>
      <w:r>
        <w:rPr>
          <w:lang w:val="en-GB"/>
        </w:rPr>
        <w:t xml:space="preserve">The two developed KM plans are detailed enough to work with in the coming three months. </w:t>
      </w:r>
      <w:r w:rsidR="000C3C73">
        <w:rPr>
          <w:lang w:val="en-GB"/>
        </w:rPr>
        <w:t>In parallel with that IEA needs a KM plan which is renewed / updated on a yearly basis. The KM scan can support the KM planning because it can be used as baseline study and when administered again an indicator of success / improvement. It must be understood KM is far and foremost in organisations around managing circumstances for information to flow and knowledge to be shared. Thus KM in organisations is about organising sustainable processes.</w:t>
      </w:r>
      <w:r w:rsidR="00720CD5">
        <w:rPr>
          <w:lang w:val="en-GB"/>
        </w:rPr>
        <w:t xml:space="preserve"> IEA – ONEP is in the fortunate situation of having a lot of IT installed already that can serve as communication back-bone for KM interventions.</w:t>
      </w:r>
    </w:p>
    <w:p w:rsidR="00C34763" w:rsidRDefault="000C3C73" w:rsidP="000C3C73">
      <w:pPr>
        <w:rPr>
          <w:lang w:val="en-GB"/>
        </w:rPr>
      </w:pPr>
      <w:r>
        <w:rPr>
          <w:lang w:val="en-GB"/>
        </w:rPr>
        <w:t>The journey IEA wants to embark on – to become a respected resource centre in the MENA / MAGREB / Arab speaking region - is ambitious and will take three to five years in terms of knowledge management. IEA staff – the personal realm - will have to learn new skills, collect new experiences and build the entrepreneurial attitude; in short learn. IEA will have to improve its information management (KM plan 1) and experiment with knowledge sharing mechanisms (KM plan 2) to produce lessons learned / information and pro-actively show leadership in the sector.</w:t>
      </w:r>
    </w:p>
    <w:p w:rsidR="00720CD5" w:rsidRDefault="00720CD5" w:rsidP="000C3C73">
      <w:pPr>
        <w:rPr>
          <w:lang w:val="en-GB"/>
        </w:rPr>
      </w:pPr>
    </w:p>
    <w:p w:rsidR="000C3C73" w:rsidRDefault="00720CD5" w:rsidP="00720CD5">
      <w:pPr>
        <w:rPr>
          <w:lang w:val="en-GB"/>
        </w:rPr>
      </w:pPr>
      <w:r>
        <w:rPr>
          <w:lang w:val="en-GB"/>
        </w:rPr>
        <w:t>The next steps in short:</w:t>
      </w:r>
    </w:p>
    <w:p w:rsidR="00720CD5" w:rsidRDefault="00720CD5" w:rsidP="00720CD5">
      <w:pPr>
        <w:pStyle w:val="ListParagraph"/>
        <w:numPr>
          <w:ilvl w:val="0"/>
          <w:numId w:val="5"/>
        </w:numPr>
        <w:rPr>
          <w:lang w:val="en-GB"/>
        </w:rPr>
      </w:pPr>
      <w:r>
        <w:rPr>
          <w:lang w:val="en-GB"/>
        </w:rPr>
        <w:t>Execute KM plan 1</w:t>
      </w:r>
    </w:p>
    <w:p w:rsidR="00720CD5" w:rsidRDefault="00720CD5" w:rsidP="00720CD5">
      <w:pPr>
        <w:pStyle w:val="ListParagraph"/>
        <w:numPr>
          <w:ilvl w:val="1"/>
          <w:numId w:val="5"/>
        </w:numPr>
        <w:rPr>
          <w:lang w:val="en-GB"/>
        </w:rPr>
      </w:pPr>
      <w:r>
        <w:rPr>
          <w:lang w:val="en-GB"/>
        </w:rPr>
        <w:t>Install the system</w:t>
      </w:r>
    </w:p>
    <w:p w:rsidR="00720CD5" w:rsidRDefault="00720CD5" w:rsidP="00720CD5">
      <w:pPr>
        <w:pStyle w:val="ListParagraph"/>
        <w:numPr>
          <w:ilvl w:val="1"/>
          <w:numId w:val="5"/>
        </w:numPr>
        <w:rPr>
          <w:lang w:val="en-GB"/>
        </w:rPr>
      </w:pPr>
      <w:r>
        <w:rPr>
          <w:lang w:val="en-GB"/>
        </w:rPr>
        <w:t>Train all IEA staff in use</w:t>
      </w:r>
    </w:p>
    <w:p w:rsidR="00720CD5" w:rsidRDefault="00720CD5" w:rsidP="00720CD5">
      <w:pPr>
        <w:pStyle w:val="ListParagraph"/>
        <w:numPr>
          <w:ilvl w:val="1"/>
          <w:numId w:val="5"/>
        </w:numPr>
        <w:rPr>
          <w:lang w:val="en-GB"/>
        </w:rPr>
      </w:pPr>
      <w:r>
        <w:rPr>
          <w:lang w:val="en-GB"/>
        </w:rPr>
        <w:t>Plan ‘IEA learning &amp; sharing’ sessions</w:t>
      </w:r>
    </w:p>
    <w:p w:rsidR="00720CD5" w:rsidRDefault="00720CD5" w:rsidP="00720CD5">
      <w:pPr>
        <w:pStyle w:val="ListParagraph"/>
        <w:numPr>
          <w:ilvl w:val="1"/>
          <w:numId w:val="5"/>
        </w:numPr>
        <w:rPr>
          <w:lang w:val="en-GB"/>
        </w:rPr>
      </w:pPr>
      <w:r>
        <w:rPr>
          <w:lang w:val="en-GB"/>
        </w:rPr>
        <w:t>Make a plan to involve non IEA ONEP staff</w:t>
      </w:r>
    </w:p>
    <w:p w:rsidR="00720CD5" w:rsidRDefault="00720CD5" w:rsidP="00720CD5">
      <w:pPr>
        <w:pStyle w:val="ListParagraph"/>
        <w:numPr>
          <w:ilvl w:val="0"/>
          <w:numId w:val="5"/>
        </w:numPr>
        <w:rPr>
          <w:lang w:val="en-GB"/>
        </w:rPr>
      </w:pPr>
      <w:r>
        <w:rPr>
          <w:lang w:val="en-GB"/>
        </w:rPr>
        <w:t>Elaborate on KM plan 2</w:t>
      </w:r>
    </w:p>
    <w:p w:rsidR="00720CD5" w:rsidRDefault="00720CD5" w:rsidP="00720CD5">
      <w:pPr>
        <w:pStyle w:val="ListParagraph"/>
        <w:numPr>
          <w:ilvl w:val="1"/>
          <w:numId w:val="5"/>
        </w:numPr>
        <w:rPr>
          <w:lang w:val="en-GB"/>
        </w:rPr>
      </w:pPr>
      <w:r>
        <w:rPr>
          <w:lang w:val="en-GB"/>
        </w:rPr>
        <w:t>Experiment with / study process documentation (capitalisation)</w:t>
      </w:r>
    </w:p>
    <w:p w:rsidR="00720CD5" w:rsidRDefault="00720CD5" w:rsidP="00720CD5">
      <w:pPr>
        <w:pStyle w:val="ListParagraph"/>
        <w:numPr>
          <w:ilvl w:val="1"/>
          <w:numId w:val="5"/>
        </w:numPr>
        <w:rPr>
          <w:lang w:val="en-GB"/>
        </w:rPr>
      </w:pPr>
      <w:r>
        <w:rPr>
          <w:lang w:val="en-GB"/>
        </w:rPr>
        <w:t>Plan and entail ‘After action reviews’</w:t>
      </w:r>
    </w:p>
    <w:p w:rsidR="00720CD5" w:rsidRDefault="00720CD5" w:rsidP="00720CD5">
      <w:pPr>
        <w:pStyle w:val="ListParagraph"/>
        <w:numPr>
          <w:ilvl w:val="1"/>
          <w:numId w:val="5"/>
        </w:numPr>
        <w:rPr>
          <w:lang w:val="en-GB"/>
        </w:rPr>
      </w:pPr>
      <w:r>
        <w:rPr>
          <w:lang w:val="en-GB"/>
        </w:rPr>
        <w:t>Plan ‘IEA learning &amp; sharing’ sessions</w:t>
      </w:r>
    </w:p>
    <w:p w:rsidR="00720CD5" w:rsidRDefault="00720CD5" w:rsidP="00720CD5">
      <w:pPr>
        <w:pStyle w:val="ListParagraph"/>
        <w:numPr>
          <w:ilvl w:val="0"/>
          <w:numId w:val="5"/>
        </w:numPr>
        <w:rPr>
          <w:lang w:val="en-GB"/>
        </w:rPr>
      </w:pPr>
      <w:r>
        <w:rPr>
          <w:lang w:val="en-GB"/>
        </w:rPr>
        <w:t>Create a KM yearly plan</w:t>
      </w:r>
    </w:p>
    <w:p w:rsidR="00720CD5" w:rsidRDefault="00720CD5" w:rsidP="00720CD5">
      <w:pPr>
        <w:pStyle w:val="ListParagraph"/>
        <w:numPr>
          <w:ilvl w:val="0"/>
          <w:numId w:val="5"/>
        </w:numPr>
        <w:rPr>
          <w:lang w:val="en-GB"/>
        </w:rPr>
      </w:pPr>
      <w:r>
        <w:rPr>
          <w:lang w:val="en-GB"/>
        </w:rPr>
        <w:t>Administer the KM scan IEA – ONEP wide</w:t>
      </w:r>
    </w:p>
    <w:p w:rsidR="00D61F6C" w:rsidRDefault="00D61F6C" w:rsidP="00D61F6C">
      <w:pPr>
        <w:rPr>
          <w:lang w:val="en-GB"/>
        </w:rPr>
      </w:pPr>
    </w:p>
    <w:p w:rsidR="00D61F6C" w:rsidRPr="00D61F6C" w:rsidRDefault="00D61F6C" w:rsidP="00D61F6C">
      <w:pPr>
        <w:rPr>
          <w:lang w:val="en-GB"/>
        </w:rPr>
      </w:pPr>
      <w:r>
        <w:rPr>
          <w:lang w:val="en-GB"/>
        </w:rPr>
        <w:t>IRC, The Hague, April 29, 2010</w:t>
      </w:r>
    </w:p>
    <w:p w:rsidR="005743A1" w:rsidRDefault="005743A1">
      <w:pPr>
        <w:rPr>
          <w:b/>
          <w:bCs/>
          <w:lang w:val="en-GB"/>
        </w:rPr>
      </w:pPr>
      <w:r>
        <w:rPr>
          <w:b/>
          <w:bCs/>
          <w:lang w:val="en-GB"/>
        </w:rPr>
        <w:br w:type="page"/>
      </w:r>
    </w:p>
    <w:p w:rsidR="004003EA" w:rsidRPr="004003EA" w:rsidRDefault="004003EA" w:rsidP="00C86559">
      <w:pPr>
        <w:rPr>
          <w:b/>
          <w:bCs/>
          <w:lang w:val="en-GB"/>
        </w:rPr>
      </w:pPr>
      <w:r w:rsidRPr="004003EA">
        <w:rPr>
          <w:b/>
          <w:bCs/>
          <w:lang w:val="en-GB"/>
        </w:rPr>
        <w:lastRenderedPageBreak/>
        <w:t>9 Annexes</w:t>
      </w:r>
    </w:p>
    <w:p w:rsidR="005743A1" w:rsidRDefault="004003EA" w:rsidP="005743A1">
      <w:pPr>
        <w:rPr>
          <w:lang w:val="en-GB"/>
        </w:rPr>
      </w:pPr>
      <w:r>
        <w:rPr>
          <w:noProof/>
          <w:lang w:val="en-GB" w:eastAsia="en-GB"/>
        </w:rPr>
        <w:drawing>
          <wp:inline distT="0" distB="0" distL="0" distR="0">
            <wp:extent cx="5400000" cy="4073574"/>
            <wp:effectExtent l="19050" t="0" r="0" b="0"/>
            <wp:docPr id="61" name="Picture 61" descr="D:\Maroc\Report\20100416-Recap\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Maroc\Report\20100416-Recap\Slide14.JPG"/>
                    <pic:cNvPicPr>
                      <a:picLocks noChangeAspect="1" noChangeArrowheads="1"/>
                    </pic:cNvPicPr>
                  </pic:nvPicPr>
                  <pic:blipFill>
                    <a:blip r:embed="rId28" cstate="email"/>
                    <a:srcRect/>
                    <a:stretch>
                      <a:fillRect/>
                    </a:stretch>
                  </pic:blipFill>
                  <pic:spPr bwMode="auto">
                    <a:xfrm>
                      <a:off x="0" y="0"/>
                      <a:ext cx="5400000" cy="4073574"/>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8455"/>
            <wp:effectExtent l="19050" t="0" r="0" b="0"/>
            <wp:docPr id="60" name="Picture 60" descr="D:\Maroc\Report\20100416-Recap\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Maroc\Report\20100416-Recap\Slide13.JPG"/>
                    <pic:cNvPicPr>
                      <a:picLocks noChangeAspect="1" noChangeArrowheads="1"/>
                    </pic:cNvPicPr>
                  </pic:nvPicPr>
                  <pic:blipFill>
                    <a:blip r:embed="rId29" cstate="email"/>
                    <a:srcRect/>
                    <a:stretch>
                      <a:fillRect/>
                    </a:stretch>
                  </pic:blipFill>
                  <pic:spPr bwMode="auto">
                    <a:xfrm>
                      <a:off x="0" y="0"/>
                      <a:ext cx="5400000" cy="405845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3777"/>
            <wp:effectExtent l="19050" t="0" r="0" b="0"/>
            <wp:docPr id="59" name="Picture 59" descr="D:\Maroc\Report\20100416-Recap\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Maroc\Report\20100416-Recap\Slide12.JPG"/>
                    <pic:cNvPicPr>
                      <a:picLocks noChangeAspect="1" noChangeArrowheads="1"/>
                    </pic:cNvPicPr>
                  </pic:nvPicPr>
                  <pic:blipFill>
                    <a:blip r:embed="rId30"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3777"/>
            <wp:effectExtent l="19050" t="0" r="0" b="0"/>
            <wp:docPr id="58" name="Picture 58" descr="D:\Maroc\Report\20100416-Recap\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Maroc\Report\20100416-Recap\Slide11.JPG"/>
                    <pic:cNvPicPr>
                      <a:picLocks noChangeAspect="1" noChangeArrowheads="1"/>
                    </pic:cNvPicPr>
                  </pic:nvPicPr>
                  <pic:blipFill>
                    <a:blip r:embed="rId31"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3777"/>
            <wp:effectExtent l="19050" t="0" r="0" b="0"/>
            <wp:docPr id="57" name="Picture 57" descr="D:\Maroc\Report\20100416-Recap\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Maroc\Report\20100416-Recap\Slide10.JPG"/>
                    <pic:cNvPicPr>
                      <a:picLocks noChangeAspect="1" noChangeArrowheads="1"/>
                    </pic:cNvPicPr>
                  </pic:nvPicPr>
                  <pic:blipFill>
                    <a:blip r:embed="rId32"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3777"/>
            <wp:effectExtent l="19050" t="0" r="0" b="0"/>
            <wp:docPr id="56" name="Picture 56" descr="D:\Maroc\Report\20100416-Recap\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Maroc\Report\20100416-Recap\Slide9.JPG"/>
                    <pic:cNvPicPr>
                      <a:picLocks noChangeAspect="1" noChangeArrowheads="1"/>
                    </pic:cNvPicPr>
                  </pic:nvPicPr>
                  <pic:blipFill>
                    <a:blip r:embed="rId33"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3777"/>
            <wp:effectExtent l="19050" t="0" r="0" b="0"/>
            <wp:docPr id="55" name="Picture 55" descr="D:\Maroc\Report\20100416-Recap\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Maroc\Report\20100416-Recap\Slide8.JPG"/>
                    <pic:cNvPicPr>
                      <a:picLocks noChangeAspect="1" noChangeArrowheads="1"/>
                    </pic:cNvPicPr>
                  </pic:nvPicPr>
                  <pic:blipFill>
                    <a:blip r:embed="rId34"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3777"/>
            <wp:effectExtent l="19050" t="0" r="0" b="0"/>
            <wp:docPr id="54" name="Picture 54" descr="D:\Maroc\Report\20100416-Recap\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Maroc\Report\20100416-Recap\Slide7.JPG"/>
                    <pic:cNvPicPr>
                      <a:picLocks noChangeAspect="1" noChangeArrowheads="1"/>
                    </pic:cNvPicPr>
                  </pic:nvPicPr>
                  <pic:blipFill>
                    <a:blip r:embed="rId35"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3777"/>
            <wp:effectExtent l="19050" t="0" r="0" b="0"/>
            <wp:docPr id="53" name="Picture 53" descr="D:\Maroc\Report\20100416-Recap\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aroc\Report\20100416-Recap\Slide6.JPG"/>
                    <pic:cNvPicPr>
                      <a:picLocks noChangeAspect="1" noChangeArrowheads="1"/>
                    </pic:cNvPicPr>
                  </pic:nvPicPr>
                  <pic:blipFill>
                    <a:blip r:embed="rId36"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3777"/>
            <wp:effectExtent l="19050" t="0" r="0" b="0"/>
            <wp:docPr id="52" name="Picture 52" descr="D:\Maroc\Report\20100416-Reca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Maroc\Report\20100416-Recap\Slide5.JPG"/>
                    <pic:cNvPicPr>
                      <a:picLocks noChangeAspect="1" noChangeArrowheads="1"/>
                    </pic:cNvPicPr>
                  </pic:nvPicPr>
                  <pic:blipFill>
                    <a:blip r:embed="rId37"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3777"/>
            <wp:effectExtent l="19050" t="0" r="0" b="0"/>
            <wp:docPr id="51" name="Picture 51" descr="D:\Maroc\Report\20100416-Recap\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Maroc\Report\20100416-Recap\Slide4.JPG"/>
                    <pic:cNvPicPr>
                      <a:picLocks noChangeAspect="1" noChangeArrowheads="1"/>
                    </pic:cNvPicPr>
                  </pic:nvPicPr>
                  <pic:blipFill>
                    <a:blip r:embed="rId38"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3777"/>
            <wp:effectExtent l="19050" t="0" r="0" b="0"/>
            <wp:docPr id="50" name="Picture 50" descr="D:\Maroc\Report\20100416-Reca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Maroc\Report\20100416-Recap\Slide3.JPG"/>
                    <pic:cNvPicPr>
                      <a:picLocks noChangeAspect="1" noChangeArrowheads="1"/>
                    </pic:cNvPicPr>
                  </pic:nvPicPr>
                  <pic:blipFill>
                    <a:blip r:embed="rId39"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3777"/>
            <wp:effectExtent l="19050" t="0" r="0" b="0"/>
            <wp:docPr id="49" name="Picture 49" descr="D:\Maroc\Report\20100416-Recap\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Maroc\Report\20100416-Recap\Slide2.JPG"/>
                    <pic:cNvPicPr>
                      <a:picLocks noChangeAspect="1" noChangeArrowheads="1"/>
                    </pic:cNvPicPr>
                  </pic:nvPicPr>
                  <pic:blipFill>
                    <a:blip r:embed="rId40" cstate="email"/>
                    <a:srcRect/>
                    <a:stretch>
                      <a:fillRect/>
                    </a:stretch>
                  </pic:blipFill>
                  <pic:spPr bwMode="auto">
                    <a:xfrm>
                      <a:off x="0" y="0"/>
                      <a:ext cx="5400000" cy="4053777"/>
                    </a:xfrm>
                    <a:prstGeom prst="rect">
                      <a:avLst/>
                    </a:prstGeom>
                    <a:noFill/>
                    <a:ln w="9525">
                      <a:noFill/>
                      <a:miter lim="800000"/>
                      <a:headEnd/>
                      <a:tailEnd/>
                    </a:ln>
                  </pic:spPr>
                </pic:pic>
              </a:graphicData>
            </a:graphic>
          </wp:inline>
        </w:drawing>
      </w:r>
    </w:p>
    <w:p w:rsidR="005743A1" w:rsidRDefault="005743A1">
      <w:pPr>
        <w:rPr>
          <w:lang w:val="en-GB"/>
        </w:rPr>
      </w:pPr>
      <w:r>
        <w:rPr>
          <w:lang w:val="en-GB"/>
        </w:rPr>
        <w:br w:type="page"/>
      </w:r>
    </w:p>
    <w:p w:rsidR="005743A1" w:rsidRDefault="005743A1" w:rsidP="005743A1">
      <w:pPr>
        <w:rPr>
          <w:lang w:val="en-GB"/>
        </w:rPr>
      </w:pPr>
      <w:r>
        <w:rPr>
          <w:lang w:val="en-GB"/>
        </w:rPr>
        <w:lastRenderedPageBreak/>
        <w:t>Final recap</w:t>
      </w:r>
    </w:p>
    <w:p w:rsidR="004003EA" w:rsidRDefault="004003EA" w:rsidP="005743A1">
      <w:pPr>
        <w:rPr>
          <w:lang w:val="en-GB"/>
        </w:rPr>
      </w:pPr>
      <w:r>
        <w:rPr>
          <w:noProof/>
          <w:lang w:val="en-GB" w:eastAsia="en-GB"/>
        </w:rPr>
        <w:drawing>
          <wp:inline distT="0" distB="0" distL="0" distR="0">
            <wp:extent cx="5400000" cy="4051455"/>
            <wp:effectExtent l="19050" t="0" r="0" b="0"/>
            <wp:docPr id="48" name="Picture 48" descr="D:\Maroc\Report\20100416-Reca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Maroc\Report\20100416-Recap\Slide1.JPG"/>
                    <pic:cNvPicPr>
                      <a:picLocks noChangeAspect="1" noChangeArrowheads="1"/>
                    </pic:cNvPicPr>
                  </pic:nvPicPr>
                  <pic:blipFill>
                    <a:blip r:embed="rId41"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1455"/>
            <wp:effectExtent l="19050" t="0" r="0" b="0"/>
            <wp:docPr id="47" name="Picture 47" descr="D:\Maroc\Report\20100416-Recap\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Maroc\Report\20100416-Recap\Slide15.JPG"/>
                    <pic:cNvPicPr>
                      <a:picLocks noChangeAspect="1" noChangeArrowheads="1"/>
                    </pic:cNvPicPr>
                  </pic:nvPicPr>
                  <pic:blipFill>
                    <a:blip r:embed="rId42"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p>
    <w:p w:rsidR="004003EA" w:rsidRDefault="004003EA" w:rsidP="00C86559">
      <w:pPr>
        <w:rPr>
          <w:lang w:val="en-GB"/>
        </w:rPr>
      </w:pPr>
      <w:r>
        <w:rPr>
          <w:lang w:val="en-GB"/>
        </w:rPr>
        <w:lastRenderedPageBreak/>
        <w:t>Plan CG 2</w:t>
      </w:r>
    </w:p>
    <w:p w:rsidR="004003EA" w:rsidRDefault="004003EA" w:rsidP="00C86559">
      <w:pPr>
        <w:rPr>
          <w:lang w:val="en-GB"/>
        </w:rPr>
      </w:pPr>
      <w:r>
        <w:rPr>
          <w:noProof/>
          <w:lang w:val="en-GB" w:eastAsia="en-GB"/>
        </w:rPr>
        <w:drawing>
          <wp:inline distT="0" distB="0" distL="0" distR="0">
            <wp:extent cx="5400000" cy="4051455"/>
            <wp:effectExtent l="19050" t="0" r="0" b="0"/>
            <wp:docPr id="70" name="Picture 70" descr="D:\Maroc\Report\20100416-Plan-2-sur-gestion-de-connaissance\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Maroc\Report\20100416-Plan-2-sur-gestion-de-connaissance\Slide13.JPG"/>
                    <pic:cNvPicPr>
                      <a:picLocks noChangeAspect="1" noChangeArrowheads="1"/>
                    </pic:cNvPicPr>
                  </pic:nvPicPr>
                  <pic:blipFill>
                    <a:blip r:embed="rId43"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1455"/>
            <wp:effectExtent l="19050" t="0" r="0" b="0"/>
            <wp:docPr id="69" name="Picture 69" descr="D:\Maroc\Report\20100416-Plan-2-sur-gestion-de-connaissanc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Maroc\Report\20100416-Plan-2-sur-gestion-de-connaissance\Slide12.JPG"/>
                    <pic:cNvPicPr>
                      <a:picLocks noChangeAspect="1" noChangeArrowheads="1"/>
                    </pic:cNvPicPr>
                  </pic:nvPicPr>
                  <pic:blipFill>
                    <a:blip r:embed="rId44"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1455"/>
            <wp:effectExtent l="19050" t="0" r="0" b="0"/>
            <wp:docPr id="68" name="Picture 68" descr="D:\Maroc\Report\20100416-Plan-2-sur-gestion-de-connaissance\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Maroc\Report\20100416-Plan-2-sur-gestion-de-connaissance\Slide11.JPG"/>
                    <pic:cNvPicPr>
                      <a:picLocks noChangeAspect="1" noChangeArrowheads="1"/>
                    </pic:cNvPicPr>
                  </pic:nvPicPr>
                  <pic:blipFill>
                    <a:blip r:embed="rId45"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1455"/>
            <wp:effectExtent l="19050" t="0" r="0" b="0"/>
            <wp:docPr id="67" name="Picture 67" descr="D:\Maroc\Report\20100416-Plan-2-sur-gestion-de-connaissance\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Maroc\Report\20100416-Plan-2-sur-gestion-de-connaissance\Slide10.JPG"/>
                    <pic:cNvPicPr>
                      <a:picLocks noChangeAspect="1" noChangeArrowheads="1"/>
                    </pic:cNvPicPr>
                  </pic:nvPicPr>
                  <pic:blipFill>
                    <a:blip r:embed="rId46"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1455"/>
            <wp:effectExtent l="19050" t="0" r="0" b="0"/>
            <wp:docPr id="66" name="Picture 66" descr="D:\Maroc\Report\20100416-Plan-2-sur-gestion-de-connaissance\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Maroc\Report\20100416-Plan-2-sur-gestion-de-connaissance\Slide9.JPG"/>
                    <pic:cNvPicPr>
                      <a:picLocks noChangeAspect="1" noChangeArrowheads="1"/>
                    </pic:cNvPicPr>
                  </pic:nvPicPr>
                  <pic:blipFill>
                    <a:blip r:embed="rId47"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1455"/>
            <wp:effectExtent l="19050" t="0" r="0" b="0"/>
            <wp:docPr id="65" name="Picture 65" descr="D:\Maroc\Report\20100416-Plan-2-sur-gestion-de-connaissance\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Maroc\Report\20100416-Plan-2-sur-gestion-de-connaissance\Slide8.JPG"/>
                    <pic:cNvPicPr>
                      <a:picLocks noChangeAspect="1" noChangeArrowheads="1"/>
                    </pic:cNvPicPr>
                  </pic:nvPicPr>
                  <pic:blipFill>
                    <a:blip r:embed="rId48"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400000" cy="4051455"/>
            <wp:effectExtent l="19050" t="0" r="0" b="0"/>
            <wp:docPr id="64" name="Picture 64" descr="D:\Maroc\Report\20100416-Plan-2-sur-gestion-de-connaissanc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Maroc\Report\20100416-Plan-2-sur-gestion-de-connaissance\Slide7.JPG"/>
                    <pic:cNvPicPr>
                      <a:picLocks noChangeAspect="1" noChangeArrowheads="1"/>
                    </pic:cNvPicPr>
                  </pic:nvPicPr>
                  <pic:blipFill>
                    <a:blip r:embed="rId49"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r>
        <w:rPr>
          <w:noProof/>
          <w:lang w:val="en-GB" w:eastAsia="en-GB"/>
        </w:rPr>
        <w:drawing>
          <wp:inline distT="0" distB="0" distL="0" distR="0">
            <wp:extent cx="5400000" cy="4051455"/>
            <wp:effectExtent l="19050" t="0" r="0" b="0"/>
            <wp:docPr id="62" name="Picture 62" descr="D:\Maroc\Report\20100416-Plan-2-sur-gestion-de-connaissance\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Maroc\Report\20100416-Plan-2-sur-gestion-de-connaissance\Slide14.JPG"/>
                    <pic:cNvPicPr>
                      <a:picLocks noChangeAspect="1" noChangeArrowheads="1"/>
                    </pic:cNvPicPr>
                  </pic:nvPicPr>
                  <pic:blipFill>
                    <a:blip r:embed="rId50" cstate="email"/>
                    <a:srcRect/>
                    <a:stretch>
                      <a:fillRect/>
                    </a:stretch>
                  </pic:blipFill>
                  <pic:spPr bwMode="auto">
                    <a:xfrm>
                      <a:off x="0" y="0"/>
                      <a:ext cx="5400000" cy="4051455"/>
                    </a:xfrm>
                    <a:prstGeom prst="rect">
                      <a:avLst/>
                    </a:prstGeom>
                    <a:noFill/>
                    <a:ln w="9525">
                      <a:noFill/>
                      <a:miter lim="800000"/>
                      <a:headEnd/>
                      <a:tailEnd/>
                    </a:ln>
                  </pic:spPr>
                </pic:pic>
              </a:graphicData>
            </a:graphic>
          </wp:inline>
        </w:drawing>
      </w:r>
    </w:p>
    <w:sectPr w:rsidR="004003EA" w:rsidSect="009B6B31">
      <w:headerReference w:type="default" r:id="rId51"/>
      <w:footerReference w:type="default" r:id="rId52"/>
      <w:pgSz w:w="11906" w:h="16838"/>
      <w:pgMar w:top="1417" w:right="1417" w:bottom="184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6BF" w:rsidRDefault="00A776BF" w:rsidP="00C93C8E">
      <w:pPr>
        <w:spacing w:after="0" w:line="240" w:lineRule="auto"/>
      </w:pPr>
      <w:r>
        <w:separator/>
      </w:r>
    </w:p>
  </w:endnote>
  <w:endnote w:type="continuationSeparator" w:id="0">
    <w:p w:rsidR="00A776BF" w:rsidRDefault="00A776BF" w:rsidP="00C93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BB0" w:rsidRDefault="00990BB0" w:rsidP="00EF7118">
    <w:pPr>
      <w:pStyle w:val="Footer"/>
    </w:pPr>
    <w:r w:rsidRPr="00990BB0">
      <w:rPr>
        <w:noProof/>
        <w:lang w:val="en-GB" w:eastAsia="en-GB"/>
      </w:rPr>
      <w:drawing>
        <wp:inline distT="0" distB="0" distL="0" distR="0">
          <wp:extent cx="2020742" cy="63795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1715" cy="638261"/>
                  </a:xfrm>
                  <a:prstGeom prst="rect">
                    <a:avLst/>
                  </a:prstGeom>
                  <a:noFill/>
                  <a:ln w="9525">
                    <a:noFill/>
                    <a:miter lim="800000"/>
                    <a:headEnd/>
                    <a:tailEnd/>
                  </a:ln>
                </pic:spPr>
              </pic:pic>
            </a:graphicData>
          </a:graphic>
        </wp:inline>
      </w:drawing>
    </w:r>
    <w:r w:rsidR="00EF7118">
      <w:tab/>
    </w:r>
    <w:r w:rsidR="003315B6">
      <w:t>V 0</w:t>
    </w:r>
    <w:r w:rsidR="00EF7118">
      <w:tab/>
    </w:r>
    <w:r w:rsidR="00EF7118" w:rsidRPr="00EF7118">
      <w:rPr>
        <w:noProof/>
        <w:lang w:val="en-GB" w:eastAsia="en-GB"/>
      </w:rPr>
      <w:drawing>
        <wp:inline distT="0" distB="0" distL="0" distR="0">
          <wp:extent cx="883876" cy="638355"/>
          <wp:effectExtent l="19050" t="0" r="0" b="0"/>
          <wp:docPr id="4" name="Picture 2" descr="I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 logo.jpg"/>
                  <pic:cNvPicPr/>
                </pic:nvPicPr>
                <pic:blipFill>
                  <a:blip r:embed="rId2"/>
                  <a:stretch>
                    <a:fillRect/>
                  </a:stretch>
                </pic:blipFill>
                <pic:spPr>
                  <a:xfrm>
                    <a:off x="0" y="0"/>
                    <a:ext cx="885804" cy="639748"/>
                  </a:xfrm>
                  <a:prstGeom prst="rect">
                    <a:avLst/>
                  </a:prstGeom>
                </pic:spPr>
              </pic:pic>
            </a:graphicData>
          </a:graphic>
        </wp:inline>
      </w:drawing>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6BF" w:rsidRDefault="00A776BF" w:rsidP="00C93C8E">
      <w:pPr>
        <w:spacing w:after="0" w:line="240" w:lineRule="auto"/>
      </w:pPr>
      <w:r>
        <w:separator/>
      </w:r>
    </w:p>
  </w:footnote>
  <w:footnote w:type="continuationSeparator" w:id="0">
    <w:p w:rsidR="00A776BF" w:rsidRDefault="00A776BF" w:rsidP="00C93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C8E" w:rsidRPr="00C93C8E" w:rsidRDefault="00C93C8E" w:rsidP="00C93C8E">
    <w:pPr>
      <w:tabs>
        <w:tab w:val="right" w:pos="9072"/>
      </w:tabs>
      <w:rPr>
        <w:lang w:val="en-GB"/>
      </w:rPr>
    </w:pPr>
    <w:r w:rsidRPr="00C93C8E">
      <w:rPr>
        <w:lang w:val="en-GB"/>
      </w:rPr>
      <w:t xml:space="preserve">Report on the knowledge management workshop at IEA </w:t>
    </w:r>
    <w:r>
      <w:rPr>
        <w:lang w:val="en-GB"/>
      </w:rPr>
      <w:t>–</w:t>
    </w:r>
    <w:r w:rsidRPr="00C93C8E">
      <w:rPr>
        <w:lang w:val="en-GB"/>
      </w:rPr>
      <w:t xml:space="preserve"> ONEP</w:t>
    </w:r>
    <w:r w:rsidR="009E6EE7">
      <w:rPr>
        <w:lang w:val="en-GB"/>
      </w:rPr>
      <w:tab/>
      <w:t>April 12-</w:t>
    </w:r>
    <w:r>
      <w:rPr>
        <w:lang w:val="en-GB"/>
      </w:rPr>
      <w:t>16</w:t>
    </w:r>
    <w:r w:rsidR="009E6EE7">
      <w:rPr>
        <w:lang w:val="en-GB"/>
      </w:rPr>
      <w:t>, 2010</w:t>
    </w:r>
  </w:p>
  <w:p w:rsidR="00C93C8E" w:rsidRPr="00C93C8E" w:rsidRDefault="00C93C8E">
    <w:pPr>
      <w:pStyle w:val="Head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236E"/>
    <w:multiLevelType w:val="hybridMultilevel"/>
    <w:tmpl w:val="D7183134"/>
    <w:lvl w:ilvl="0" w:tplc="AB7A09D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4791B94"/>
    <w:multiLevelType w:val="hybridMultilevel"/>
    <w:tmpl w:val="5BBCAC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E750D63"/>
    <w:multiLevelType w:val="hybridMultilevel"/>
    <w:tmpl w:val="80862B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BFB3E74"/>
    <w:multiLevelType w:val="hybridMultilevel"/>
    <w:tmpl w:val="4178E8F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nsid w:val="572854C9"/>
    <w:multiLevelType w:val="hybridMultilevel"/>
    <w:tmpl w:val="5BBCAC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7CB6A6E"/>
    <w:multiLevelType w:val="hybridMultilevel"/>
    <w:tmpl w:val="40E04760"/>
    <w:lvl w:ilvl="0" w:tplc="FFC01642">
      <w:start w:val="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C93C8E"/>
    <w:rsid w:val="00085296"/>
    <w:rsid w:val="000C3C73"/>
    <w:rsid w:val="000E109A"/>
    <w:rsid w:val="0015517C"/>
    <w:rsid w:val="001E76C5"/>
    <w:rsid w:val="003315B6"/>
    <w:rsid w:val="004003EA"/>
    <w:rsid w:val="004E2270"/>
    <w:rsid w:val="005743A1"/>
    <w:rsid w:val="00634249"/>
    <w:rsid w:val="006A43FA"/>
    <w:rsid w:val="006A65FF"/>
    <w:rsid w:val="006C7B2E"/>
    <w:rsid w:val="00720CD5"/>
    <w:rsid w:val="00934FAA"/>
    <w:rsid w:val="00990BB0"/>
    <w:rsid w:val="009B6B31"/>
    <w:rsid w:val="009E6EE7"/>
    <w:rsid w:val="00A237F1"/>
    <w:rsid w:val="00A776BF"/>
    <w:rsid w:val="00AF2835"/>
    <w:rsid w:val="00B12EC0"/>
    <w:rsid w:val="00B14BBA"/>
    <w:rsid w:val="00BF6FE9"/>
    <w:rsid w:val="00C34763"/>
    <w:rsid w:val="00C86559"/>
    <w:rsid w:val="00C93C8E"/>
    <w:rsid w:val="00D61F6C"/>
    <w:rsid w:val="00D9072F"/>
    <w:rsid w:val="00DF40F2"/>
    <w:rsid w:val="00EF7118"/>
    <w:rsid w:val="00FA20C3"/>
  </w:rsids>
  <m:mathPr>
    <m:mathFont m:val="Cambria Math"/>
    <m:brkBin m:val="before"/>
    <m:brkBinSub m:val="--"/>
    <m:smallFrac m:val="off"/>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E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93C8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93C8E"/>
  </w:style>
  <w:style w:type="paragraph" w:styleId="Footer">
    <w:name w:val="footer"/>
    <w:basedOn w:val="Normal"/>
    <w:link w:val="FooterChar"/>
    <w:uiPriority w:val="99"/>
    <w:semiHidden/>
    <w:unhideWhenUsed/>
    <w:rsid w:val="00C93C8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93C8E"/>
  </w:style>
  <w:style w:type="paragraph" w:styleId="ListParagraph">
    <w:name w:val="List Paragraph"/>
    <w:basedOn w:val="Normal"/>
    <w:uiPriority w:val="34"/>
    <w:qFormat/>
    <w:rsid w:val="00C93C8E"/>
    <w:pPr>
      <w:ind w:left="720"/>
      <w:contextualSpacing/>
    </w:pPr>
  </w:style>
  <w:style w:type="paragraph" w:styleId="BalloonText">
    <w:name w:val="Balloon Text"/>
    <w:basedOn w:val="Normal"/>
    <w:link w:val="BalloonTextChar"/>
    <w:uiPriority w:val="99"/>
    <w:semiHidden/>
    <w:unhideWhenUsed/>
    <w:rsid w:val="00C93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C8E"/>
    <w:rPr>
      <w:rFonts w:ascii="Tahoma" w:hAnsi="Tahoma" w:cs="Tahoma"/>
      <w:sz w:val="16"/>
      <w:szCs w:val="16"/>
    </w:rPr>
  </w:style>
  <w:style w:type="character" w:styleId="Hyperlink">
    <w:name w:val="Hyperlink"/>
    <w:basedOn w:val="DefaultParagraphFont"/>
    <w:uiPriority w:val="99"/>
    <w:unhideWhenUsed/>
    <w:rsid w:val="00D9072F"/>
    <w:rPr>
      <w:color w:val="0000FF" w:themeColor="hyperlink"/>
      <w:u w:val="single"/>
    </w:rPr>
  </w:style>
  <w:style w:type="table" w:styleId="TableGrid">
    <w:name w:val="Table Grid"/>
    <w:basedOn w:val="TableNormal"/>
    <w:uiPriority w:val="59"/>
    <w:rsid w:val="006A65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4265493">
      <w:bodyDiv w:val="1"/>
      <w:marLeft w:val="0"/>
      <w:marRight w:val="0"/>
      <w:marTop w:val="0"/>
      <w:marBottom w:val="0"/>
      <w:divBdr>
        <w:top w:val="none" w:sz="0" w:space="0" w:color="auto"/>
        <w:left w:val="none" w:sz="0" w:space="0" w:color="auto"/>
        <w:bottom w:val="none" w:sz="0" w:space="0" w:color="auto"/>
        <w:right w:val="none" w:sz="0" w:space="0" w:color="auto"/>
      </w:divBdr>
      <w:divsChild>
        <w:div w:id="593175842">
          <w:marLeft w:val="806"/>
          <w:marRight w:val="0"/>
          <w:marTop w:val="96"/>
          <w:marBottom w:val="0"/>
          <w:divBdr>
            <w:top w:val="none" w:sz="0" w:space="0" w:color="auto"/>
            <w:left w:val="none" w:sz="0" w:space="0" w:color="auto"/>
            <w:bottom w:val="none" w:sz="0" w:space="0" w:color="auto"/>
            <w:right w:val="none" w:sz="0" w:space="0" w:color="auto"/>
          </w:divBdr>
        </w:div>
        <w:div w:id="337928010">
          <w:marLeft w:val="806"/>
          <w:marRight w:val="0"/>
          <w:marTop w:val="96"/>
          <w:marBottom w:val="0"/>
          <w:divBdr>
            <w:top w:val="none" w:sz="0" w:space="0" w:color="auto"/>
            <w:left w:val="none" w:sz="0" w:space="0" w:color="auto"/>
            <w:bottom w:val="none" w:sz="0" w:space="0" w:color="auto"/>
            <w:right w:val="none" w:sz="0" w:space="0" w:color="auto"/>
          </w:divBdr>
        </w:div>
        <w:div w:id="942346165">
          <w:marLeft w:val="806"/>
          <w:marRight w:val="0"/>
          <w:marTop w:val="96"/>
          <w:marBottom w:val="0"/>
          <w:divBdr>
            <w:top w:val="none" w:sz="0" w:space="0" w:color="auto"/>
            <w:left w:val="none" w:sz="0" w:space="0" w:color="auto"/>
            <w:bottom w:val="none" w:sz="0" w:space="0" w:color="auto"/>
            <w:right w:val="none" w:sz="0" w:space="0" w:color="auto"/>
          </w:divBdr>
        </w:div>
        <w:div w:id="560948654">
          <w:marLeft w:val="806"/>
          <w:marRight w:val="0"/>
          <w:marTop w:val="96"/>
          <w:marBottom w:val="0"/>
          <w:divBdr>
            <w:top w:val="none" w:sz="0" w:space="0" w:color="auto"/>
            <w:left w:val="none" w:sz="0" w:space="0" w:color="auto"/>
            <w:bottom w:val="none" w:sz="0" w:space="0" w:color="auto"/>
            <w:right w:val="none" w:sz="0" w:space="0" w:color="auto"/>
          </w:divBdr>
        </w:div>
        <w:div w:id="2091543018">
          <w:marLeft w:val="806"/>
          <w:marRight w:val="0"/>
          <w:marTop w:val="96"/>
          <w:marBottom w:val="0"/>
          <w:divBdr>
            <w:top w:val="none" w:sz="0" w:space="0" w:color="auto"/>
            <w:left w:val="none" w:sz="0" w:space="0" w:color="auto"/>
            <w:bottom w:val="none" w:sz="0" w:space="0" w:color="auto"/>
            <w:right w:val="none" w:sz="0" w:space="0" w:color="auto"/>
          </w:divBdr>
        </w:div>
        <w:div w:id="1605730068">
          <w:marLeft w:val="806"/>
          <w:marRight w:val="0"/>
          <w:marTop w:val="96"/>
          <w:marBottom w:val="0"/>
          <w:divBdr>
            <w:top w:val="none" w:sz="0" w:space="0" w:color="auto"/>
            <w:left w:val="none" w:sz="0" w:space="0" w:color="auto"/>
            <w:bottom w:val="none" w:sz="0" w:space="0" w:color="auto"/>
            <w:right w:val="none" w:sz="0" w:space="0" w:color="auto"/>
          </w:divBdr>
        </w:div>
        <w:div w:id="1314218330">
          <w:marLeft w:val="806"/>
          <w:marRight w:val="0"/>
          <w:marTop w:val="96"/>
          <w:marBottom w:val="0"/>
          <w:divBdr>
            <w:top w:val="none" w:sz="0" w:space="0" w:color="auto"/>
            <w:left w:val="none" w:sz="0" w:space="0" w:color="auto"/>
            <w:bottom w:val="none" w:sz="0" w:space="0" w:color="auto"/>
            <w:right w:val="none" w:sz="0" w:space="0" w:color="auto"/>
          </w:divBdr>
        </w:div>
        <w:div w:id="1334262962">
          <w:marLeft w:val="806"/>
          <w:marRight w:val="0"/>
          <w:marTop w:val="96"/>
          <w:marBottom w:val="0"/>
          <w:divBdr>
            <w:top w:val="none" w:sz="0" w:space="0" w:color="auto"/>
            <w:left w:val="none" w:sz="0" w:space="0" w:color="auto"/>
            <w:bottom w:val="none" w:sz="0" w:space="0" w:color="auto"/>
            <w:right w:val="none" w:sz="0" w:space="0" w:color="auto"/>
          </w:divBdr>
        </w:div>
        <w:div w:id="553394146">
          <w:marLeft w:val="806"/>
          <w:marRight w:val="0"/>
          <w:marTop w:val="96"/>
          <w:marBottom w:val="0"/>
          <w:divBdr>
            <w:top w:val="none" w:sz="0" w:space="0" w:color="auto"/>
            <w:left w:val="none" w:sz="0" w:space="0" w:color="auto"/>
            <w:bottom w:val="none" w:sz="0" w:space="0" w:color="auto"/>
            <w:right w:val="none" w:sz="0" w:space="0" w:color="auto"/>
          </w:divBdr>
        </w:div>
        <w:div w:id="870338896">
          <w:marLeft w:val="806"/>
          <w:marRight w:val="0"/>
          <w:marTop w:val="96"/>
          <w:marBottom w:val="0"/>
          <w:divBdr>
            <w:top w:val="none" w:sz="0" w:space="0" w:color="auto"/>
            <w:left w:val="none" w:sz="0" w:space="0" w:color="auto"/>
            <w:bottom w:val="none" w:sz="0" w:space="0" w:color="auto"/>
            <w:right w:val="none" w:sz="0" w:space="0" w:color="auto"/>
          </w:divBdr>
        </w:div>
      </w:divsChild>
    </w:div>
    <w:div w:id="750855507">
      <w:bodyDiv w:val="1"/>
      <w:marLeft w:val="0"/>
      <w:marRight w:val="0"/>
      <w:marTop w:val="0"/>
      <w:marBottom w:val="0"/>
      <w:divBdr>
        <w:top w:val="none" w:sz="0" w:space="0" w:color="auto"/>
        <w:left w:val="none" w:sz="0" w:space="0" w:color="auto"/>
        <w:bottom w:val="none" w:sz="0" w:space="0" w:color="auto"/>
        <w:right w:val="none" w:sz="0" w:space="0" w:color="auto"/>
      </w:divBdr>
    </w:div>
    <w:div w:id="1054965525">
      <w:bodyDiv w:val="1"/>
      <w:marLeft w:val="0"/>
      <w:marRight w:val="0"/>
      <w:marTop w:val="0"/>
      <w:marBottom w:val="0"/>
      <w:divBdr>
        <w:top w:val="none" w:sz="0" w:space="0" w:color="auto"/>
        <w:left w:val="none" w:sz="0" w:space="0" w:color="auto"/>
        <w:bottom w:val="none" w:sz="0" w:space="0" w:color="auto"/>
        <w:right w:val="none" w:sz="0" w:space="0" w:color="auto"/>
      </w:divBdr>
    </w:div>
    <w:div w:id="113077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hemanager.org/models/7S%20Model.htm"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package" Target="embeddings/Microsoft_Office_PowerPoint_Slide1.sldx"/><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192B9-C846-4770-8574-C60842A0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 Pels</dc:creator>
  <cp:lastModifiedBy>woerden</cp:lastModifiedBy>
  <cp:revision>2</cp:revision>
  <cp:lastPrinted>2011-02-10T07:47:00Z</cp:lastPrinted>
  <dcterms:created xsi:type="dcterms:W3CDTF">2011-02-10T07:55:00Z</dcterms:created>
  <dcterms:modified xsi:type="dcterms:W3CDTF">2011-02-10T07:55:00Z</dcterms:modified>
</cp:coreProperties>
</file>